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32DE73">
      <w:pPr>
        <w:pStyle w:val="2"/>
        <w:spacing w:before="44" w:line="400" w:lineRule="exact"/>
        <w:ind w:left="76"/>
        <w:jc w:val="center"/>
        <w:rPr>
          <w:rFonts w:ascii="楷体" w:hAnsi="楷体" w:eastAsia="楷体"/>
          <w:sz w:val="44"/>
          <w:szCs w:val="44"/>
          <w:lang w:eastAsia="zh-CN"/>
        </w:rPr>
      </w:pPr>
      <w:r>
        <w:rPr>
          <w:rFonts w:ascii="楷体" w:hAnsi="楷体" w:eastAsia="楷体"/>
          <w:spacing w:val="9"/>
          <w:sz w:val="44"/>
          <w:szCs w:val="44"/>
          <w:lang w:eastAsia="zh-CN"/>
          <w14:textOutline w14:w="5791" w14:cap="sq" w14:cmpd="sng" w14:algn="ctr">
            <w14:solidFill>
              <w14:srgbClr w14:val="000000"/>
            </w14:solidFill>
            <w14:prstDash w14:val="solid"/>
            <w14:bevel/>
          </w14:textOutline>
        </w:rPr>
        <w:t>投标方承诺书</w:t>
      </w:r>
    </w:p>
    <w:p w14:paraId="5CFD4BED">
      <w:pPr>
        <w:spacing w:line="400" w:lineRule="exact"/>
        <w:ind w:firstLine="0" w:firstLineChars="0"/>
        <w:jc w:val="both"/>
        <w:rPr>
          <w:rFonts w:ascii="楷体_GB2312" w:eastAsia="楷体_GB2312"/>
          <w:b/>
          <w:sz w:val="24"/>
          <w:lang w:eastAsia="zh-CN"/>
        </w:rPr>
      </w:pPr>
      <w:r>
        <w:rPr>
          <w:rFonts w:ascii="楷体_GB2312" w:eastAsia="楷体_GB2312"/>
          <w:b/>
          <w:sz w:val="24"/>
          <w:lang w:eastAsia="zh-CN"/>
        </w:rPr>
        <w:t>致瑞鲸（安徽）供应链科技有限公司：</w:t>
      </w:r>
    </w:p>
    <w:p w14:paraId="256D0B38">
      <w:pPr>
        <w:spacing w:line="400" w:lineRule="exact"/>
        <w:ind w:firstLine="482" w:firstLineChars="200"/>
        <w:jc w:val="both"/>
        <w:rPr>
          <w:rFonts w:ascii="楷体_GB2312" w:eastAsia="楷体_GB2312"/>
          <w:b/>
          <w:sz w:val="24"/>
          <w:lang w:eastAsia="zh-CN"/>
        </w:rPr>
      </w:pPr>
      <w:r>
        <w:rPr>
          <w:rFonts w:ascii="楷体_GB2312" w:eastAsia="楷体_GB2312"/>
          <w:b/>
          <w:sz w:val="24"/>
          <w:lang w:eastAsia="zh-CN"/>
        </w:rPr>
        <w:t>一、投标方声明</w:t>
      </w:r>
    </w:p>
    <w:p w14:paraId="6354261A">
      <w:pPr>
        <w:spacing w:line="400" w:lineRule="exact"/>
        <w:ind w:firstLine="480" w:firstLineChars="200"/>
        <w:jc w:val="both"/>
        <w:rPr>
          <w:rFonts w:ascii="楷体_GB2312" w:eastAsia="楷体_GB2312"/>
          <w:sz w:val="24"/>
          <w:lang w:eastAsia="zh-CN"/>
        </w:rPr>
      </w:pPr>
      <w:r>
        <w:rPr>
          <w:rFonts w:hint="eastAsia" w:ascii="楷体_GB2312" w:eastAsia="楷体_GB2312"/>
          <w:sz w:val="24"/>
          <w:lang w:eastAsia="zh-CN"/>
        </w:rPr>
        <w:t>1、</w:t>
      </w:r>
      <w:r>
        <w:rPr>
          <w:rFonts w:ascii="楷体_GB2312" w:eastAsia="楷体_GB2312"/>
          <w:sz w:val="24"/>
          <w:lang w:eastAsia="zh-CN"/>
        </w:rPr>
        <w:t>投标方知悉并同意采购项目实际采购方可能为瑞鲸科技以外的奇瑞集团关联公司，瑞鲸科技以及最终实际签署商务合同的招标委托方（以上两个主体合称“招标方”），均可向投标方主张违反本承诺书应承担的责任，但就同一违约事项招标方不会要求投标方重复承担违约责任。</w:t>
      </w:r>
    </w:p>
    <w:p w14:paraId="2E46AD94">
      <w:pPr>
        <w:spacing w:line="400" w:lineRule="exact"/>
        <w:ind w:firstLine="480" w:firstLineChars="200"/>
        <w:jc w:val="both"/>
        <w:rPr>
          <w:rFonts w:ascii="楷体_GB2312" w:eastAsia="楷体_GB2312"/>
          <w:sz w:val="24"/>
          <w:lang w:eastAsia="zh-CN"/>
        </w:rPr>
      </w:pPr>
      <w:r>
        <w:rPr>
          <w:rFonts w:ascii="楷体_GB2312" w:eastAsia="楷体_GB2312"/>
          <w:sz w:val="24"/>
          <w:lang w:eastAsia="zh-CN"/>
        </w:rPr>
        <w:t>2</w:t>
      </w:r>
      <w:r>
        <w:rPr>
          <w:rFonts w:hint="eastAsia" w:ascii="楷体_GB2312" w:eastAsia="楷体_GB2312"/>
          <w:sz w:val="24"/>
          <w:lang w:eastAsia="zh-CN"/>
        </w:rPr>
        <w:t>、</w:t>
      </w:r>
      <w:r>
        <w:rPr>
          <w:rFonts w:ascii="楷体_GB2312" w:eastAsia="楷体_GB2312"/>
          <w:sz w:val="24"/>
          <w:lang w:eastAsia="zh-CN"/>
        </w:rPr>
        <w:t>投标方承诺不与其他投标方、招标方或招标代理机构串通投标，不排挤其他投标方的公平竞争，不损害招标方或者他人的合法权益。</w:t>
      </w:r>
    </w:p>
    <w:p w14:paraId="687DE373">
      <w:pPr>
        <w:spacing w:line="400" w:lineRule="exact"/>
        <w:ind w:firstLine="480" w:firstLineChars="200"/>
        <w:jc w:val="both"/>
        <w:rPr>
          <w:rFonts w:ascii="楷体_GB2312" w:eastAsia="楷体_GB2312"/>
          <w:sz w:val="24"/>
          <w:lang w:eastAsia="zh-CN"/>
        </w:rPr>
      </w:pPr>
      <w:r>
        <w:rPr>
          <w:rFonts w:ascii="楷体_GB2312" w:eastAsia="楷体_GB2312"/>
          <w:sz w:val="24"/>
          <w:lang w:eastAsia="zh-CN"/>
        </w:rPr>
        <w:t>3、投标方承诺以公开、公正和诚实信用的原则自愿参加</w:t>
      </w:r>
      <w:r>
        <w:rPr>
          <w:rFonts w:ascii="楷体_GB2312" w:hAnsi="Arial" w:eastAsia="楷体_GB2312" w:cs="Arial"/>
          <w:color w:val="000000" w:themeColor="text1"/>
          <w:sz w:val="24"/>
          <w:u w:val="none"/>
          <w:lang w:eastAsia="zh-CN"/>
          <w14:textFill>
            <w14:solidFill>
              <w14:schemeClr w14:val="tx1"/>
            </w14:solidFill>
          </w14:textFill>
        </w:rPr>
        <w:t>瑞鲸科技以及最终实际签署商务合同的招标委托方</w:t>
      </w:r>
      <w:r>
        <w:rPr>
          <w:rFonts w:ascii="楷体_GB2312" w:hAnsi="Arial" w:eastAsia="楷体_GB2312" w:cs="Arial"/>
          <w:sz w:val="24"/>
          <w:lang w:eastAsia="zh-CN"/>
        </w:rPr>
        <w:t>项目的投标，承诺所提供的一切材料均真</w:t>
      </w:r>
      <w:r>
        <w:rPr>
          <w:rFonts w:ascii="楷体_GB2312" w:eastAsia="楷体_GB2312"/>
          <w:sz w:val="24"/>
          <w:lang w:eastAsia="zh-CN"/>
        </w:rPr>
        <w:t>实、有效、合法，不出借、转让资质证书，不让他人挂靠投标，不以他人名义投标或者以其他方式弄虚作假，骗取中标。</w:t>
      </w:r>
    </w:p>
    <w:p w14:paraId="408BA711">
      <w:pPr>
        <w:spacing w:line="400" w:lineRule="exact"/>
        <w:ind w:firstLine="480" w:firstLineChars="200"/>
        <w:jc w:val="both"/>
        <w:rPr>
          <w:rFonts w:ascii="楷体_GB2312" w:eastAsia="楷体_GB2312"/>
          <w:sz w:val="24"/>
          <w:lang w:eastAsia="zh-CN"/>
        </w:rPr>
      </w:pPr>
      <w:r>
        <w:rPr>
          <w:rFonts w:ascii="楷体_GB2312" w:eastAsia="楷体_GB2312"/>
          <w:sz w:val="24"/>
          <w:lang w:eastAsia="zh-CN"/>
        </w:rPr>
        <w:t>4、</w:t>
      </w:r>
      <w:r>
        <w:rPr>
          <w:rFonts w:hint="eastAsia" w:ascii="楷体_GB2312" w:eastAsia="楷体_GB2312"/>
          <w:color w:val="auto"/>
          <w:sz w:val="24"/>
          <w:lang w:eastAsia="zh-CN"/>
        </w:rPr>
        <w:t>投标方承诺投标方及投标方法定代表人、股东、实际控制人</w:t>
      </w:r>
      <w:r>
        <w:rPr>
          <w:rFonts w:hint="eastAsia" w:ascii="楷体_GB2312" w:eastAsia="楷体_GB2312"/>
          <w:sz w:val="24"/>
          <w:lang w:eastAsia="zh-CN"/>
        </w:rPr>
        <w:t>在招投标过程中不存在被人民法院列为（失信）被执行人及被人民法院限制高消费的情况，也不存在被行政机关列为经营异常等可能对合同履行具有不利影响的情况。</w:t>
      </w:r>
    </w:p>
    <w:p w14:paraId="48950D6B">
      <w:pPr>
        <w:spacing w:line="400" w:lineRule="exact"/>
        <w:ind w:firstLine="480" w:firstLineChars="200"/>
        <w:jc w:val="both"/>
        <w:rPr>
          <w:rFonts w:ascii="楷体_GB2312" w:eastAsia="楷体_GB2312"/>
          <w:sz w:val="24"/>
          <w:lang w:eastAsia="zh-CN"/>
        </w:rPr>
      </w:pPr>
      <w:r>
        <w:rPr>
          <w:rFonts w:ascii="楷体_GB2312" w:eastAsia="楷体_GB2312"/>
          <w:sz w:val="24"/>
          <w:lang w:eastAsia="zh-CN"/>
        </w:rPr>
        <w:t>5、投标方承诺在招标标期间及项目实际履行过程中（如中标）中无贿赂行为。</w:t>
      </w:r>
    </w:p>
    <w:p w14:paraId="19309E56">
      <w:pPr>
        <w:spacing w:line="400" w:lineRule="exact"/>
        <w:ind w:firstLine="480" w:firstLineChars="200"/>
        <w:jc w:val="both"/>
        <w:rPr>
          <w:rFonts w:ascii="楷体_GB2312" w:eastAsia="楷体_GB2312"/>
          <w:sz w:val="24"/>
          <w:lang w:eastAsia="zh-CN"/>
        </w:rPr>
      </w:pPr>
      <w:r>
        <w:rPr>
          <w:rFonts w:ascii="楷体_GB2312" w:eastAsia="楷体_GB2312"/>
          <w:sz w:val="24"/>
          <w:lang w:eastAsia="zh-CN"/>
        </w:rPr>
        <w:t>6、投标方承诺在招标标期间及项目实际履行过程中（如中标）中不违反</w:t>
      </w:r>
      <w:r>
        <w:rPr>
          <w:rFonts w:hint="eastAsia" w:ascii="楷体_GB2312" w:eastAsia="楷体_GB2312"/>
          <w:sz w:val="24"/>
          <w:lang w:eastAsia="zh-CN"/>
        </w:rPr>
        <w:t>《“阳光工程”廉洁协议》</w:t>
      </w:r>
      <w:r>
        <w:rPr>
          <w:rFonts w:ascii="楷体_GB2312" w:eastAsia="楷体_GB2312"/>
          <w:sz w:val="24"/>
          <w:lang w:eastAsia="zh-CN"/>
        </w:rPr>
        <w:t>。</w:t>
      </w:r>
    </w:p>
    <w:p w14:paraId="470AE381">
      <w:pPr>
        <w:spacing w:line="400" w:lineRule="exact"/>
        <w:ind w:firstLine="480" w:firstLineChars="200"/>
        <w:jc w:val="both"/>
        <w:rPr>
          <w:rFonts w:ascii="楷体_GB2312" w:eastAsia="楷体_GB2312"/>
          <w:color w:val="000000" w:themeColor="text1"/>
          <w:sz w:val="24"/>
          <w:lang w:eastAsia="zh-CN"/>
          <w14:textFill>
            <w14:solidFill>
              <w14:schemeClr w14:val="tx1"/>
            </w14:solidFill>
          </w14:textFill>
        </w:rPr>
      </w:pPr>
      <w:r>
        <w:rPr>
          <w:rFonts w:ascii="楷体_GB2312" w:eastAsia="楷体_GB2312"/>
          <w:color w:val="000000" w:themeColor="text1"/>
          <w:sz w:val="24"/>
          <w:lang w:eastAsia="zh-CN"/>
          <w14:textFill>
            <w14:solidFill>
              <w14:schemeClr w14:val="tx1"/>
            </w14:solidFill>
          </w14:textFill>
        </w:rPr>
        <w:t>7、</w:t>
      </w:r>
      <w:r>
        <w:rPr>
          <w:rFonts w:hint="eastAsia" w:ascii="楷体_GB2312" w:eastAsia="楷体_GB2312"/>
          <w:color w:val="000000" w:themeColor="text1"/>
          <w:sz w:val="24"/>
          <w:lang w:eastAsia="zh-CN"/>
          <w14:textFill>
            <w14:solidFill>
              <w14:schemeClr w14:val="tx1"/>
            </w14:solidFill>
          </w14:textFill>
        </w:rPr>
        <w:t>投标方承诺在招标标期间及项目实际履行过程中</w:t>
      </w:r>
      <w:r>
        <w:rPr>
          <w:rFonts w:ascii="楷体_GB2312" w:eastAsia="楷体_GB2312"/>
          <w:color w:val="000000" w:themeColor="text1"/>
          <w:sz w:val="24"/>
          <w:lang w:eastAsia="zh-CN"/>
          <w14:textFill>
            <w14:solidFill>
              <w14:schemeClr w14:val="tx1"/>
            </w14:solidFill>
          </w14:textFill>
        </w:rPr>
        <w:t>对</w:t>
      </w:r>
      <w:r>
        <w:rPr>
          <w:rFonts w:hint="eastAsia" w:ascii="楷体_GB2312" w:eastAsia="楷体_GB2312"/>
          <w:color w:val="000000" w:themeColor="text1"/>
          <w:sz w:val="24"/>
          <w:lang w:eastAsia="zh-CN"/>
          <w14:textFill>
            <w14:solidFill>
              <w14:schemeClr w14:val="tx1"/>
            </w14:solidFill>
          </w14:textFill>
        </w:rPr>
        <w:t>所有</w:t>
      </w:r>
      <w:r>
        <w:rPr>
          <w:rFonts w:ascii="楷体_GB2312" w:eastAsia="楷体_GB2312"/>
          <w:color w:val="000000" w:themeColor="text1"/>
          <w:sz w:val="24"/>
          <w:lang w:eastAsia="zh-CN"/>
          <w14:textFill>
            <w14:solidFill>
              <w14:schemeClr w14:val="tx1"/>
            </w14:solidFill>
          </w14:textFill>
        </w:rPr>
        <w:t>涉及的文件信息均予以</w:t>
      </w:r>
      <w:r>
        <w:rPr>
          <w:rFonts w:hint="eastAsia" w:ascii="楷体_GB2312" w:eastAsia="楷体_GB2312"/>
          <w:color w:val="000000" w:themeColor="text1"/>
          <w:sz w:val="24"/>
          <w:lang w:eastAsia="zh-CN"/>
          <w14:textFill>
            <w14:solidFill>
              <w14:schemeClr w14:val="tx1"/>
            </w14:solidFill>
          </w14:textFill>
        </w:rPr>
        <w:t>全程保密。</w:t>
      </w:r>
    </w:p>
    <w:p w14:paraId="79370242">
      <w:pPr>
        <w:spacing w:line="400" w:lineRule="exact"/>
        <w:ind w:firstLine="482" w:firstLineChars="200"/>
        <w:jc w:val="both"/>
        <w:rPr>
          <w:rFonts w:ascii="楷体_GB2312" w:eastAsia="楷体_GB2312"/>
          <w:b/>
          <w:sz w:val="24"/>
          <w:lang w:eastAsia="zh-CN"/>
        </w:rPr>
      </w:pPr>
      <w:r>
        <w:rPr>
          <w:rFonts w:ascii="楷体_GB2312" w:eastAsia="楷体_GB2312"/>
          <w:b/>
          <w:sz w:val="24"/>
          <w:lang w:eastAsia="zh-CN"/>
        </w:rPr>
        <w:t>二、罚则</w:t>
      </w:r>
    </w:p>
    <w:p w14:paraId="4E5EA6F2">
      <w:pPr>
        <w:spacing w:line="400" w:lineRule="exact"/>
        <w:ind w:firstLine="482" w:firstLineChars="200"/>
        <w:jc w:val="both"/>
        <w:rPr>
          <w:rFonts w:ascii="楷体_GB2312" w:eastAsia="楷体_GB2312"/>
          <w:b/>
          <w:sz w:val="24"/>
          <w:lang w:eastAsia="zh-CN"/>
        </w:rPr>
      </w:pPr>
      <w:r>
        <w:rPr>
          <w:rFonts w:ascii="楷体_GB2312" w:eastAsia="楷体_GB2312"/>
          <w:b/>
          <w:sz w:val="24"/>
          <w:lang w:eastAsia="zh-CN"/>
        </w:rPr>
        <w:t>（一）</w:t>
      </w:r>
      <w:r>
        <w:rPr>
          <w:rFonts w:hint="eastAsia" w:ascii="楷体_GB2312" w:eastAsia="楷体_GB2312"/>
          <w:b/>
          <w:sz w:val="24"/>
          <w:lang w:eastAsia="zh-CN"/>
        </w:rPr>
        <w:t>违约</w:t>
      </w:r>
      <w:r>
        <w:rPr>
          <w:rFonts w:ascii="楷体_GB2312" w:eastAsia="楷体_GB2312"/>
          <w:b/>
          <w:sz w:val="24"/>
          <w:lang w:eastAsia="zh-CN"/>
        </w:rPr>
        <w:t>行为及处理举措</w:t>
      </w:r>
    </w:p>
    <w:p w14:paraId="20376D41">
      <w:pPr>
        <w:spacing w:line="400" w:lineRule="exact"/>
        <w:ind w:firstLine="480" w:firstLineChars="200"/>
        <w:jc w:val="both"/>
        <w:rPr>
          <w:rFonts w:ascii="楷体_GB2312" w:eastAsia="楷体_GB2312"/>
          <w:b/>
          <w:sz w:val="24"/>
          <w:lang w:eastAsia="zh-CN"/>
        </w:rPr>
      </w:pPr>
      <w:r>
        <w:rPr>
          <w:rFonts w:ascii="楷体_GB2312" w:eastAsia="楷体_GB2312"/>
          <w:sz w:val="24"/>
          <w:lang w:eastAsia="zh-CN"/>
        </w:rPr>
        <w:t>投标方承诺</w:t>
      </w:r>
      <w:r>
        <w:rPr>
          <w:rFonts w:hint="eastAsia" w:ascii="楷体_GB2312" w:eastAsia="楷体_GB2312"/>
          <w:sz w:val="24"/>
          <w:lang w:eastAsia="zh-CN"/>
        </w:rPr>
        <w:t>在投标及履约期间发生</w:t>
      </w:r>
      <w:r>
        <w:rPr>
          <w:rFonts w:ascii="楷体_GB2312" w:eastAsia="楷体_GB2312"/>
          <w:sz w:val="24"/>
          <w:lang w:eastAsia="zh-CN"/>
        </w:rPr>
        <w:t>下述行为</w:t>
      </w:r>
      <w:r>
        <w:rPr>
          <w:rFonts w:hint="eastAsia" w:ascii="楷体_GB2312" w:eastAsia="楷体_GB2312"/>
          <w:sz w:val="24"/>
          <w:lang w:eastAsia="zh-CN"/>
        </w:rPr>
        <w:t>时，接受招标方按下述规定</w:t>
      </w:r>
      <w:r>
        <w:rPr>
          <w:rFonts w:ascii="楷体_GB2312" w:eastAsia="楷体_GB2312"/>
          <w:sz w:val="24"/>
          <w:lang w:eastAsia="zh-CN"/>
        </w:rPr>
        <w:t>采取处理举措</w:t>
      </w:r>
      <w:r>
        <w:rPr>
          <w:rFonts w:hint="eastAsia" w:ascii="楷体_GB2312" w:eastAsia="楷体_GB2312"/>
          <w:sz w:val="24"/>
          <w:lang w:eastAsia="zh-CN"/>
        </w:rPr>
        <w:t>，并赔偿由此给招标方造成的损失，同时赔偿</w:t>
      </w:r>
      <w:r>
        <w:rPr>
          <w:rFonts w:ascii="楷体_GB2312" w:eastAsia="楷体_GB2312"/>
          <w:sz w:val="24"/>
          <w:lang w:eastAsia="zh-CN"/>
        </w:rPr>
        <w:t>招标方为追究投标方责任所支出的所有费用，包括</w:t>
      </w:r>
      <w:r>
        <w:rPr>
          <w:rFonts w:hint="eastAsia" w:ascii="楷体_GB2312" w:eastAsia="楷体_GB2312"/>
          <w:sz w:val="24"/>
          <w:lang w:eastAsia="zh-CN"/>
        </w:rPr>
        <w:t>但不限于物资损耗、业务损失、财产损失、确认异常的差旅费、检测费、客户索赔费用、品牌信誉损失、人员伤亡处置费用、诉讼费、律师费等。</w:t>
      </w:r>
    </w:p>
    <w:p w14:paraId="09671A34">
      <w:pPr>
        <w:spacing w:line="400" w:lineRule="exact"/>
        <w:ind w:firstLine="480" w:firstLineChars="200"/>
        <w:jc w:val="both"/>
        <w:rPr>
          <w:rFonts w:ascii="楷体_GB2312" w:hAnsi="Calibri" w:eastAsia="楷体_GB2312"/>
          <w:sz w:val="24"/>
          <w:szCs w:val="22"/>
          <w:lang w:eastAsia="zh-CN"/>
        </w:rPr>
      </w:pPr>
      <w:r>
        <w:rPr>
          <w:rFonts w:ascii="楷体_GB2312" w:eastAsia="楷体_GB2312"/>
          <w:sz w:val="24"/>
          <w:lang w:eastAsia="zh-CN"/>
        </w:rPr>
        <w:t>1、投标方</w:t>
      </w:r>
      <w:r>
        <w:rPr>
          <w:rFonts w:hint="eastAsia" w:ascii="楷体_GB2312" w:hAnsi="Calibri" w:eastAsia="楷体_GB2312"/>
          <w:sz w:val="24"/>
          <w:szCs w:val="22"/>
          <w:lang w:eastAsia="zh-CN"/>
        </w:rPr>
        <w:t>被招标方认定为属于围串标，或视为围串标且投标方未能给出合理解释的，接受</w:t>
      </w:r>
      <w:r>
        <w:rPr>
          <w:rFonts w:hint="eastAsia" w:ascii="楷体_GB2312" w:hAnsi="Calibri" w:eastAsia="楷体_GB2312"/>
          <w:color w:val="auto"/>
          <w:sz w:val="24"/>
          <w:szCs w:val="22"/>
          <w:lang w:eastAsia="zh-CN"/>
        </w:rPr>
        <w:t>招标方</w:t>
      </w:r>
      <w:r>
        <w:rPr>
          <w:rFonts w:hint="eastAsia" w:ascii="楷体_GB2312" w:hAnsi="Calibri" w:eastAsia="楷体_GB2312"/>
          <w:sz w:val="24"/>
          <w:szCs w:val="22"/>
          <w:lang w:eastAsia="zh-CN"/>
        </w:rPr>
        <w:t>根据下述不同情形给予不同处罚：</w:t>
      </w:r>
    </w:p>
    <w:p w14:paraId="5364EA39">
      <w:pPr>
        <w:spacing w:line="400" w:lineRule="exact"/>
        <w:ind w:firstLine="480" w:firstLineChars="200"/>
        <w:jc w:val="both"/>
        <w:rPr>
          <w:rFonts w:ascii="楷体_GB2312" w:eastAsia="楷体_GB2312"/>
          <w:sz w:val="24"/>
          <w:lang w:eastAsia="zh-CN"/>
        </w:rPr>
      </w:pPr>
      <w:r>
        <w:rPr>
          <w:rFonts w:hint="eastAsia" w:ascii="楷体_GB2312" w:hAnsi="Calibri" w:eastAsia="楷体_GB2312"/>
          <w:color w:val="auto"/>
          <w:sz w:val="24"/>
          <w:szCs w:val="22"/>
          <w:lang w:eastAsia="zh-CN"/>
        </w:rPr>
        <w:t>1.</w:t>
      </w:r>
      <w:r>
        <w:rPr>
          <w:rFonts w:ascii="楷体_GB2312" w:hAnsi="Calibri" w:eastAsia="楷体_GB2312"/>
          <w:color w:val="auto"/>
          <w:sz w:val="24"/>
          <w:szCs w:val="22"/>
          <w:lang w:eastAsia="zh-CN"/>
        </w:rPr>
        <w:t>1</w:t>
      </w:r>
      <w:r>
        <w:rPr>
          <w:rFonts w:ascii="楷体_GB2312" w:eastAsia="楷体_GB2312"/>
          <w:sz w:val="24"/>
          <w:lang w:eastAsia="zh-CN"/>
        </w:rPr>
        <w:t>首次</w:t>
      </w:r>
      <w:r>
        <w:rPr>
          <w:rFonts w:hint="eastAsia" w:ascii="楷体_GB2312" w:hAnsi="Calibri" w:eastAsia="楷体_GB2312"/>
          <w:sz w:val="24"/>
          <w:szCs w:val="22"/>
          <w:lang w:eastAsia="zh-CN"/>
        </w:rPr>
        <w:t>围串标</w:t>
      </w:r>
      <w:r>
        <w:rPr>
          <w:rFonts w:ascii="楷体_GB2312" w:eastAsia="楷体_GB2312"/>
          <w:sz w:val="24"/>
          <w:lang w:eastAsia="zh-CN"/>
        </w:rPr>
        <w:t>(未中标)，没收投标保证金、冻结参与新项目资格6个月；</w:t>
      </w:r>
    </w:p>
    <w:p w14:paraId="617A626C">
      <w:pPr>
        <w:spacing w:line="400" w:lineRule="exact"/>
        <w:ind w:firstLine="480" w:firstLineChars="200"/>
        <w:jc w:val="both"/>
        <w:rPr>
          <w:rFonts w:ascii="楷体_GB2312" w:eastAsia="楷体_GB2312"/>
          <w:sz w:val="24"/>
          <w:lang w:eastAsia="zh-CN"/>
        </w:rPr>
      </w:pPr>
      <w:r>
        <w:rPr>
          <w:rFonts w:ascii="楷体_GB2312" w:eastAsia="楷体_GB2312"/>
          <w:sz w:val="24"/>
          <w:lang w:eastAsia="zh-CN"/>
        </w:rPr>
        <w:t>1.2屡次</w:t>
      </w:r>
      <w:r>
        <w:rPr>
          <w:rFonts w:hint="eastAsia" w:ascii="楷体_GB2312" w:hAnsi="Calibri" w:eastAsia="楷体_GB2312"/>
          <w:sz w:val="24"/>
          <w:szCs w:val="22"/>
          <w:lang w:eastAsia="zh-CN"/>
        </w:rPr>
        <w:t>围串标</w:t>
      </w:r>
      <w:r>
        <w:rPr>
          <w:rFonts w:ascii="楷体_GB2312" w:eastAsia="楷体_GB2312"/>
          <w:sz w:val="24"/>
          <w:lang w:eastAsia="zh-CN"/>
        </w:rPr>
        <w:t>(≥2 次未中标)，没收投标保证金、永久冻结参与新项目资格；</w:t>
      </w:r>
    </w:p>
    <w:p w14:paraId="18B42D7D">
      <w:pPr>
        <w:spacing w:line="400" w:lineRule="exact"/>
        <w:ind w:firstLine="480" w:firstLineChars="200"/>
        <w:jc w:val="both"/>
        <w:rPr>
          <w:rFonts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eastAsia="zh-CN"/>
          <w14:textFill>
            <w14:solidFill>
              <w14:schemeClr w14:val="tx1"/>
            </w14:solidFill>
          </w14:textFill>
        </w:rPr>
        <w:t>1.3首次围串标（1次中标，不论金额），没收投标保证金、冻结参与新项目资格18个月、处中标价5%的罚金；</w:t>
      </w:r>
    </w:p>
    <w:p w14:paraId="20F6BA9A">
      <w:pPr>
        <w:spacing w:line="400" w:lineRule="exact"/>
        <w:ind w:firstLine="480" w:firstLineChars="200"/>
        <w:jc w:val="both"/>
        <w:rPr>
          <w:rFonts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eastAsia="zh-CN"/>
          <w14:textFill>
            <w14:solidFill>
              <w14:schemeClr w14:val="tx1"/>
            </w14:solidFill>
          </w14:textFill>
        </w:rPr>
        <w:t>1.4屡次围串标（≥2 次中标，不论金额），没收投标保证金、永久冻结参与新项目资格、处中标价10%的罚金。</w:t>
      </w:r>
    </w:p>
    <w:p w14:paraId="3F7615B3">
      <w:pPr>
        <w:spacing w:line="400" w:lineRule="exact"/>
        <w:ind w:firstLine="482" w:firstLineChars="200"/>
        <w:jc w:val="both"/>
        <w:rPr>
          <w:rFonts w:ascii="楷体_GB2312" w:eastAsia="楷体_GB2312"/>
          <w:b/>
          <w:sz w:val="24"/>
          <w:lang w:eastAsia="zh-CN"/>
        </w:rPr>
      </w:pPr>
      <w:r>
        <w:rPr>
          <w:rFonts w:ascii="楷体_GB2312" w:eastAsia="楷体_GB2312"/>
          <w:b/>
          <w:sz w:val="24"/>
          <w:lang w:eastAsia="zh-CN"/>
        </w:rPr>
        <w:t>特别注意：</w:t>
      </w:r>
    </w:p>
    <w:p w14:paraId="302B54C3">
      <w:pPr>
        <w:spacing w:line="400" w:lineRule="exact"/>
        <w:ind w:firstLine="482" w:firstLineChars="200"/>
        <w:jc w:val="both"/>
        <w:rPr>
          <w:rFonts w:ascii="楷体_GB2312" w:eastAsia="楷体_GB2312"/>
          <w:sz w:val="24"/>
          <w:lang w:eastAsia="zh-CN"/>
        </w:rPr>
      </w:pPr>
      <w:r>
        <w:rPr>
          <w:rFonts w:hint="eastAsia" w:ascii="楷体_GB2312" w:eastAsia="楷体_GB2312"/>
          <w:b/>
          <w:sz w:val="24"/>
          <w:lang w:eastAsia="zh-CN"/>
        </w:rPr>
        <w:t>1、属于投标人相互串通投标的情形</w:t>
      </w:r>
      <w:r>
        <w:rPr>
          <w:rFonts w:ascii="楷体_GB2312" w:eastAsia="楷体_GB2312"/>
          <w:sz w:val="24"/>
          <w:lang w:eastAsia="zh-CN"/>
        </w:rPr>
        <w:t>：</w:t>
      </w:r>
      <w:r>
        <w:rPr>
          <w:rFonts w:hint="eastAsia" w:ascii="楷体_GB2312" w:eastAsia="楷体_GB2312"/>
          <w:sz w:val="24"/>
          <w:lang w:eastAsia="zh-CN"/>
        </w:rPr>
        <w:t>1）投标人之间协商投标报价等投标文件的实质性内容；</w:t>
      </w:r>
      <w:r>
        <w:rPr>
          <w:rFonts w:ascii="楷体_GB2312" w:eastAsia="楷体_GB2312"/>
          <w:sz w:val="24"/>
          <w:lang w:eastAsia="zh-CN"/>
        </w:rPr>
        <w:t>2）</w:t>
      </w:r>
      <w:r>
        <w:rPr>
          <w:rFonts w:hint="eastAsia" w:ascii="楷体_GB2312" w:eastAsia="楷体_GB2312"/>
          <w:sz w:val="24"/>
          <w:lang w:eastAsia="zh-CN"/>
        </w:rPr>
        <w:t>投标人之间约定中标人；3）投标人之间约定部分投标人放弃投标或者中标；4）属于同一集团、协会、商会等组织成员的投标人按照该组织要求协同投标；5）投标人之间为谋取中标或者排斥特定投标人而采取的其他联合行动；6）同一人携带两家及以上投标人的企业资料参与投标报名、资格预审、答疑、交纳投标保证金、开标的；7）不同的投标人的法定代表人、委托代理人、项目经理、项目总监、项目负责人等由同一个单位缴纳社会保险的；8）同一人领取两家或以上投标人投标资料或退还投标保证金的；9）一年内三次或以上通过资格预审，但不购买招标文件或不缴纳投标保证金或报名后又撤回报名的；1</w:t>
      </w:r>
      <w:r>
        <w:rPr>
          <w:rFonts w:ascii="楷体_GB2312" w:eastAsia="楷体_GB2312"/>
          <w:sz w:val="24"/>
          <w:lang w:eastAsia="zh-CN"/>
        </w:rPr>
        <w:t>0）</w:t>
      </w:r>
      <w:r>
        <w:rPr>
          <w:rFonts w:hint="eastAsia" w:ascii="楷体_GB2312" w:eastAsia="楷体_GB2312"/>
          <w:sz w:val="24"/>
          <w:lang w:eastAsia="zh-CN"/>
        </w:rPr>
        <w:t>两个或两个以上投标人委托同一家咨询公司或代理机构或同一自然人提供咨询或代理或代办服务的；1</w:t>
      </w:r>
      <w:r>
        <w:rPr>
          <w:rFonts w:ascii="楷体_GB2312" w:eastAsia="楷体_GB2312"/>
          <w:sz w:val="24"/>
          <w:lang w:eastAsia="zh-CN"/>
        </w:rPr>
        <w:t>1）</w:t>
      </w:r>
      <w:r>
        <w:rPr>
          <w:rFonts w:hint="eastAsia" w:ascii="楷体_GB2312" w:eastAsia="楷体_GB2312"/>
          <w:sz w:val="24"/>
          <w:lang w:eastAsia="zh-CN"/>
        </w:rPr>
        <w:t>投标人之间约定给予未中标的其他投标人以费用补偿的；1</w:t>
      </w:r>
      <w:r>
        <w:rPr>
          <w:rFonts w:ascii="楷体_GB2312" w:eastAsia="楷体_GB2312"/>
          <w:sz w:val="24"/>
          <w:lang w:eastAsia="zh-CN"/>
        </w:rPr>
        <w:t>2）</w:t>
      </w:r>
      <w:r>
        <w:rPr>
          <w:rFonts w:hint="eastAsia" w:ascii="楷体_GB2312" w:eastAsia="楷体_GB2312"/>
          <w:sz w:val="24"/>
          <w:lang w:eastAsia="zh-CN"/>
        </w:rPr>
        <w:t>投标人之间相互约定，不按照资格预审文件要求提交资格申请文件或撤回投标或不实质性响应招标文件或制定投标方案；1</w:t>
      </w:r>
      <w:r>
        <w:rPr>
          <w:rFonts w:ascii="楷体_GB2312" w:eastAsia="楷体_GB2312"/>
          <w:sz w:val="24"/>
          <w:lang w:eastAsia="zh-CN"/>
        </w:rPr>
        <w:t>3）</w:t>
      </w:r>
      <w:r>
        <w:rPr>
          <w:rFonts w:hint="eastAsia" w:ascii="楷体_GB2312" w:eastAsia="楷体_GB2312"/>
          <w:sz w:val="24"/>
          <w:lang w:eastAsia="zh-CN"/>
        </w:rPr>
        <w:t>其他招标方认定属于投标人相互串通投标的情形。</w:t>
      </w:r>
    </w:p>
    <w:p w14:paraId="095F836D">
      <w:pPr>
        <w:spacing w:line="400" w:lineRule="exact"/>
        <w:ind w:firstLine="482" w:firstLineChars="200"/>
        <w:jc w:val="both"/>
        <w:rPr>
          <w:rFonts w:ascii="楷体_GB2312" w:eastAsia="楷体_GB2312"/>
          <w:sz w:val="24"/>
          <w:lang w:eastAsia="zh-CN"/>
        </w:rPr>
      </w:pPr>
      <w:r>
        <w:rPr>
          <w:rFonts w:ascii="楷体_GB2312" w:eastAsia="楷体_GB2312"/>
          <w:b/>
          <w:color w:val="000000" w:themeColor="text1"/>
          <w:sz w:val="24"/>
          <w:lang w:eastAsia="zh-CN"/>
          <w14:textFill>
            <w14:solidFill>
              <w14:schemeClr w14:val="tx1"/>
            </w14:solidFill>
          </w14:textFill>
        </w:rPr>
        <w:t>2、</w:t>
      </w:r>
      <w:r>
        <w:rPr>
          <w:rFonts w:hint="eastAsia" w:ascii="楷体_GB2312" w:eastAsia="楷体_GB2312"/>
          <w:b/>
          <w:color w:val="000000" w:themeColor="text1"/>
          <w:sz w:val="24"/>
          <w:lang w:eastAsia="zh-CN"/>
          <w14:textFill>
            <w14:solidFill>
              <w14:schemeClr w14:val="tx1"/>
            </w14:solidFill>
          </w14:textFill>
        </w:rPr>
        <w:t>视为投标人相互串通投标的情形：</w:t>
      </w:r>
      <w:r>
        <w:rPr>
          <w:rFonts w:hint="eastAsia" w:ascii="楷体_GB2312" w:eastAsia="楷体_GB2312"/>
          <w:color w:val="000000" w:themeColor="text1"/>
          <w:sz w:val="24"/>
          <w:lang w:eastAsia="zh-CN"/>
          <w14:textFill>
            <w14:solidFill>
              <w14:schemeClr w14:val="tx1"/>
            </w14:solidFill>
          </w14:textFill>
        </w:rPr>
        <w:t>1）不同投标人的投标文件由同一单位或个人编制（投标文件作者、修改者相同）；2）不同投标人的投标文件上传的计算机MAC地址、CPU序列号和硬盘序列号等硬件信息相同，或使用同一个第三方编辑软件账号（如W</w:t>
      </w:r>
      <w:r>
        <w:rPr>
          <w:rFonts w:ascii="楷体_GB2312" w:eastAsia="楷体_GB2312"/>
          <w:color w:val="000000" w:themeColor="text1"/>
          <w:sz w:val="24"/>
          <w:lang w:eastAsia="zh-CN"/>
          <w14:textFill>
            <w14:solidFill>
              <w14:schemeClr w14:val="tx1"/>
            </w14:solidFill>
          </w14:textFill>
        </w:rPr>
        <w:t xml:space="preserve">PS </w:t>
      </w:r>
      <w:r>
        <w:rPr>
          <w:rFonts w:hint="eastAsia" w:ascii="楷体_GB2312" w:eastAsia="楷体_GB2312"/>
          <w:color w:val="000000" w:themeColor="text1"/>
          <w:sz w:val="24"/>
          <w:lang w:eastAsia="zh-CN"/>
          <w14:textFill>
            <w14:solidFill>
              <w14:schemeClr w14:val="tx1"/>
            </w14:solidFill>
          </w14:textFill>
        </w:rPr>
        <w:t>office或PDF软件）编辑的文件作者或修改者相同</w:t>
      </w:r>
      <w:r>
        <w:rPr>
          <w:rFonts w:hint="eastAsia" w:ascii="楷体_GB2312" w:eastAsia="楷体_GB2312"/>
          <w:sz w:val="24"/>
          <w:lang w:eastAsia="zh-CN"/>
        </w:rPr>
        <w:t>；3）不同投标人委托同一单位或者个人办理投标事宜；4）不同投标人的投标文件载明的项目管理成员为同一人；5）不同投标人的投标文件异常一致，或者投标报价呈规律性差异或总报价相近但各项报价异常，没有合理的解释或者提不出计算依据的；</w:t>
      </w:r>
      <w:r>
        <w:rPr>
          <w:rFonts w:ascii="楷体_GB2312" w:eastAsia="楷体_GB2312"/>
          <w:sz w:val="24"/>
          <w:lang w:eastAsia="zh-CN"/>
        </w:rPr>
        <w:t>6</w:t>
      </w:r>
      <w:r>
        <w:rPr>
          <w:rFonts w:hint="eastAsia" w:ascii="楷体_GB2312" w:eastAsia="楷体_GB2312"/>
          <w:sz w:val="24"/>
          <w:lang w:eastAsia="zh-CN"/>
        </w:rPr>
        <w:t>）不同投标人的投标文件相互混装；7）不同投标人的投标保证金从同一单位或者个人的账户转出，或虽然经由投标人自己的基本账户转出，但所需资金均是来自同一单位或者个人的账户的；</w:t>
      </w:r>
      <w:r>
        <w:rPr>
          <w:rFonts w:ascii="楷体_GB2312" w:eastAsia="楷体_GB2312"/>
          <w:sz w:val="24"/>
          <w:lang w:eastAsia="zh-CN"/>
        </w:rPr>
        <w:t>8</w:t>
      </w:r>
      <w:r>
        <w:rPr>
          <w:rFonts w:hint="eastAsia" w:ascii="楷体_GB2312" w:eastAsia="楷体_GB2312"/>
          <w:sz w:val="24"/>
          <w:lang w:eastAsia="zh-CN"/>
        </w:rPr>
        <w:t>）不同投标人的投标文件由同一投标人的附属设备打印、复印的；9）不同投标人的投标报价用同一个预算编制软件密码锁制作或者出自同一电子文档的；1</w:t>
      </w:r>
      <w:r>
        <w:rPr>
          <w:rFonts w:ascii="楷体_GB2312" w:eastAsia="楷体_GB2312"/>
          <w:sz w:val="24"/>
          <w:lang w:eastAsia="zh-CN"/>
        </w:rPr>
        <w:t>0）</w:t>
      </w:r>
      <w:r>
        <w:rPr>
          <w:rFonts w:hint="eastAsia" w:ascii="楷体_GB2312" w:eastAsia="楷体_GB2312"/>
          <w:sz w:val="24"/>
          <w:lang w:eastAsia="zh-CN"/>
        </w:rPr>
        <w:t>不同投标人编制的投标文件存在两处以上一致性错误的；1</w:t>
      </w:r>
      <w:r>
        <w:rPr>
          <w:rFonts w:ascii="楷体_GB2312" w:eastAsia="楷体_GB2312"/>
          <w:sz w:val="24"/>
          <w:lang w:eastAsia="zh-CN"/>
        </w:rPr>
        <w:t>1）</w:t>
      </w:r>
      <w:r>
        <w:rPr>
          <w:rFonts w:hint="eastAsia" w:ascii="楷体_GB2312" w:eastAsia="楷体_GB2312"/>
          <w:sz w:val="24"/>
          <w:lang w:eastAsia="zh-CN"/>
        </w:rPr>
        <w:t>两个或两个以上投标人从同一个IP地址注册EBD平台或下载招标文件或者上传投标文件的；1</w:t>
      </w:r>
      <w:r>
        <w:rPr>
          <w:rFonts w:ascii="楷体_GB2312" w:eastAsia="楷体_GB2312"/>
          <w:sz w:val="24"/>
          <w:lang w:eastAsia="zh-CN"/>
        </w:rPr>
        <w:t>2）两个或两个以上</w:t>
      </w:r>
      <w:r>
        <w:rPr>
          <w:rFonts w:hint="eastAsia" w:ascii="楷体_GB2312" w:eastAsia="楷体_GB2312"/>
          <w:sz w:val="24"/>
          <w:lang w:eastAsia="zh-CN"/>
        </w:rPr>
        <w:t>投标人存在关联关系（包括但不限于同一集团内分子公司/关联公司/有管理权或控制权的相关公司），且存在项目联系人或联系电话为同一个等明显知悉彼此投标同一项目的；1</w:t>
      </w:r>
      <w:r>
        <w:rPr>
          <w:rFonts w:ascii="楷体_GB2312" w:eastAsia="楷体_GB2312"/>
          <w:sz w:val="24"/>
          <w:lang w:eastAsia="zh-CN"/>
        </w:rPr>
        <w:t>3</w:t>
      </w:r>
      <w:r>
        <w:rPr>
          <w:rFonts w:hint="eastAsia" w:ascii="楷体_GB2312" w:eastAsia="楷体_GB2312"/>
          <w:sz w:val="24"/>
          <w:lang w:eastAsia="zh-CN"/>
        </w:rPr>
        <w:t>）其他招标方认定视为投标人相互串通投标的情形。</w:t>
      </w:r>
    </w:p>
    <w:p w14:paraId="1283741A">
      <w:pPr>
        <w:numPr>
          <w:ilvl w:val="0"/>
          <w:numId w:val="0"/>
        </w:numPr>
        <w:spacing w:line="400" w:lineRule="exact"/>
        <w:ind w:left="420" w:leftChars="0"/>
        <w:jc w:val="both"/>
        <w:rPr>
          <w:rFonts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val="en-US" w:eastAsia="zh-CN"/>
          <w14:textFill>
            <w14:solidFill>
              <w14:schemeClr w14:val="tx1"/>
            </w14:solidFill>
          </w14:textFill>
        </w:rPr>
        <w:t>2、</w:t>
      </w:r>
      <w:r>
        <w:rPr>
          <w:rFonts w:ascii="楷体_GB2312" w:eastAsia="楷体_GB2312"/>
          <w:color w:val="000000" w:themeColor="text1"/>
          <w:sz w:val="24"/>
          <w:lang w:eastAsia="zh-CN"/>
          <w14:textFill>
            <w14:solidFill>
              <w14:schemeClr w14:val="tx1"/>
            </w14:solidFill>
          </w14:textFill>
        </w:rPr>
        <w:t>投标方</w:t>
      </w:r>
      <w:r>
        <w:rPr>
          <w:rFonts w:hint="eastAsia" w:ascii="楷体_GB2312" w:hAnsi="Calibri" w:eastAsia="楷体_GB2312"/>
          <w:color w:val="000000" w:themeColor="text1"/>
          <w:sz w:val="24"/>
          <w:szCs w:val="22"/>
          <w:lang w:val="en-US" w:eastAsia="zh-CN"/>
          <w14:textFill>
            <w14:solidFill>
              <w14:schemeClr w14:val="tx1"/>
            </w14:solidFill>
          </w14:textFill>
        </w:rPr>
        <w:t>挂靠</w:t>
      </w:r>
      <w:r>
        <w:rPr>
          <w:rFonts w:ascii="楷体_GB2312" w:hAnsi="Calibri" w:eastAsia="楷体_GB2312"/>
          <w:color w:val="000000" w:themeColor="text1"/>
          <w:sz w:val="24"/>
          <w:szCs w:val="22"/>
          <w:lang w:eastAsia="zh-CN"/>
          <w14:textFill>
            <w14:solidFill>
              <w14:schemeClr w14:val="tx1"/>
            </w14:solidFill>
          </w14:textFill>
        </w:rPr>
        <w:t>他人名义投标，接受</w:t>
      </w:r>
      <w:r>
        <w:rPr>
          <w:rFonts w:hint="eastAsia" w:ascii="楷体_GB2312" w:hAnsi="Calibri" w:eastAsia="楷体_GB2312"/>
          <w:color w:val="000000" w:themeColor="text1"/>
          <w:sz w:val="24"/>
          <w:szCs w:val="22"/>
          <w:lang w:eastAsia="zh-CN"/>
          <w14:textFill>
            <w14:solidFill>
              <w14:schemeClr w14:val="tx1"/>
            </w14:solidFill>
          </w14:textFill>
        </w:rPr>
        <w:t>招标方没</w:t>
      </w:r>
      <w:r>
        <w:rPr>
          <w:rFonts w:ascii="楷体_GB2312" w:eastAsia="楷体_GB2312"/>
          <w:color w:val="000000" w:themeColor="text1"/>
          <w:sz w:val="24"/>
          <w:lang w:eastAsia="zh-CN"/>
          <w14:textFill>
            <w14:solidFill>
              <w14:schemeClr w14:val="tx1"/>
            </w14:solidFill>
          </w14:textFill>
        </w:rPr>
        <w:t>收投标保证金、冻结参与新</w:t>
      </w:r>
    </w:p>
    <w:p w14:paraId="590C0D5A">
      <w:pPr>
        <w:numPr>
          <w:ilvl w:val="0"/>
          <w:numId w:val="0"/>
        </w:numPr>
        <w:spacing w:line="400" w:lineRule="exact"/>
        <w:jc w:val="both"/>
        <w:rPr>
          <w:rFonts w:hint="eastAsia" w:ascii="楷体_GB2312" w:eastAsia="楷体_GB2312"/>
          <w:color w:val="000000" w:themeColor="text1"/>
          <w:sz w:val="24"/>
          <w:lang w:eastAsia="zh-CN"/>
          <w14:textFill>
            <w14:solidFill>
              <w14:schemeClr w14:val="tx1"/>
            </w14:solidFill>
          </w14:textFill>
        </w:rPr>
      </w:pPr>
      <w:r>
        <w:rPr>
          <w:rFonts w:ascii="楷体_GB2312" w:eastAsia="楷体_GB2312"/>
          <w:color w:val="000000" w:themeColor="text1"/>
          <w:sz w:val="24"/>
          <w:lang w:eastAsia="zh-CN"/>
          <w14:textFill>
            <w14:solidFill>
              <w14:schemeClr w14:val="tx1"/>
            </w14:solidFill>
          </w14:textFill>
        </w:rPr>
        <w:t>项目资格6个月</w:t>
      </w:r>
      <w:r>
        <w:rPr>
          <w:rFonts w:hint="eastAsia" w:ascii="楷体_GB2312" w:eastAsia="楷体_GB2312"/>
          <w:color w:val="000000" w:themeColor="text1"/>
          <w:sz w:val="24"/>
          <w:lang w:eastAsia="zh-CN"/>
          <w14:textFill>
            <w14:solidFill>
              <w14:schemeClr w14:val="tx1"/>
            </w14:solidFill>
          </w14:textFill>
        </w:rPr>
        <w:t>；</w:t>
      </w:r>
    </w:p>
    <w:p w14:paraId="2B6CFA49">
      <w:pPr>
        <w:numPr>
          <w:ilvl w:val="0"/>
          <w:numId w:val="1"/>
        </w:numPr>
        <w:spacing w:line="400" w:lineRule="exact"/>
        <w:ind w:firstLine="480" w:firstLineChars="200"/>
        <w:jc w:val="both"/>
        <w:rPr>
          <w:rFonts w:hint="eastAsia"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eastAsia="zh-CN"/>
          <w14:textFill>
            <w14:solidFill>
              <w14:schemeClr w14:val="tx1"/>
            </w14:solidFill>
          </w14:textFill>
        </w:rPr>
        <w:t>投标方项目主要参与人员中与招标方项目工作人员存在应当需要回避的情形（包括但不限于近亲属关系等可能影响招标方工作人员作出公正合理评价的）</w:t>
      </w:r>
      <w:r>
        <w:rPr>
          <w:rFonts w:hint="eastAsia" w:ascii="楷体_GB2312" w:eastAsia="楷体_GB2312"/>
          <w:color w:val="000000" w:themeColor="text1"/>
          <w:sz w:val="24"/>
          <w:lang w:eastAsia="zh-CN"/>
          <w14:textFill>
            <w14:solidFill>
              <w14:schemeClr w14:val="tx1"/>
            </w14:solidFill>
          </w14:textFill>
        </w:rPr>
        <w:t>，但投标方未出动提出回避的，接受</w:t>
      </w:r>
      <w:r>
        <w:rPr>
          <w:rFonts w:hint="eastAsia" w:ascii="楷体_GB2312" w:hAnsi="Calibri" w:eastAsia="楷体_GB2312"/>
          <w:color w:val="000000" w:themeColor="text1"/>
          <w:sz w:val="24"/>
          <w:szCs w:val="22"/>
          <w:lang w:eastAsia="zh-CN"/>
          <w14:textFill>
            <w14:solidFill>
              <w14:schemeClr w14:val="tx1"/>
            </w14:solidFill>
          </w14:textFill>
        </w:rPr>
        <w:t>招标方</w:t>
      </w:r>
      <w:r>
        <w:rPr>
          <w:rFonts w:hint="eastAsia" w:ascii="楷体_GB2312" w:eastAsia="楷体_GB2312"/>
          <w:color w:val="000000" w:themeColor="text1"/>
          <w:sz w:val="24"/>
          <w:lang w:eastAsia="zh-CN"/>
          <w14:textFill>
            <w14:solidFill>
              <w14:schemeClr w14:val="tx1"/>
            </w14:solidFill>
          </w14:textFill>
        </w:rPr>
        <w:t>没收投标保证金、冻结参与新项目资格6个月；</w:t>
      </w:r>
    </w:p>
    <w:p w14:paraId="613F5472">
      <w:pPr>
        <w:numPr>
          <w:ilvl w:val="0"/>
          <w:numId w:val="1"/>
        </w:numPr>
        <w:spacing w:line="400" w:lineRule="exact"/>
        <w:ind w:firstLine="480" w:firstLineChars="200"/>
        <w:jc w:val="both"/>
        <w:rPr>
          <w:rFonts w:hint="default" w:ascii="楷体_GB2312" w:eastAsia="楷体_GB2312"/>
          <w:color w:val="000000" w:themeColor="text1"/>
          <w:sz w:val="24"/>
          <w:lang w:val="en-US" w:eastAsia="zh-CN"/>
          <w14:textFill>
            <w14:solidFill>
              <w14:schemeClr w14:val="tx1"/>
            </w14:solidFill>
          </w14:textFill>
        </w:rPr>
      </w:pPr>
      <w:r>
        <w:rPr>
          <w:rFonts w:ascii="楷体_GB2312" w:eastAsia="楷体_GB2312"/>
          <w:color w:val="000000" w:themeColor="text1"/>
          <w:sz w:val="24"/>
          <w:lang w:eastAsia="zh-CN"/>
          <w14:textFill>
            <w14:solidFill>
              <w14:schemeClr w14:val="tx1"/>
            </w14:solidFill>
          </w14:textFill>
        </w:rPr>
        <w:t>投标方</w:t>
      </w:r>
      <w:r>
        <w:rPr>
          <w:rFonts w:hint="eastAsia" w:ascii="楷体_GB2312" w:hAnsi="Calibri" w:eastAsia="楷体_GB2312"/>
          <w:color w:val="000000" w:themeColor="text1"/>
          <w:sz w:val="24"/>
          <w:szCs w:val="22"/>
          <w:lang w:eastAsia="zh-CN"/>
          <w14:textFill>
            <w14:solidFill>
              <w14:schemeClr w14:val="tx1"/>
            </w14:solidFill>
          </w14:textFill>
        </w:rPr>
        <w:t>不遵守招标方招标规则，存在伪造、虚构资质、许可证书、业绩等弄虚作假事项，</w:t>
      </w:r>
      <w:r>
        <w:rPr>
          <w:rFonts w:hint="eastAsia" w:ascii="楷体_GB2312" w:hAnsi="Calibri" w:eastAsia="楷体_GB2312"/>
          <w:color w:val="000000" w:themeColor="text1"/>
          <w:sz w:val="24"/>
          <w:szCs w:val="22"/>
          <w:lang w:val="en-US" w:eastAsia="zh-CN"/>
          <w14:textFill>
            <w14:solidFill>
              <w14:schemeClr w14:val="tx1"/>
            </w14:solidFill>
          </w14:textFill>
        </w:rPr>
        <w:t>未中标</w:t>
      </w:r>
      <w:r>
        <w:rPr>
          <w:rFonts w:hint="eastAsia" w:ascii="楷体_GB2312" w:hAnsi="Calibri" w:eastAsia="楷体_GB2312"/>
          <w:color w:val="000000" w:themeColor="text1"/>
          <w:sz w:val="24"/>
          <w:szCs w:val="22"/>
          <w:lang w:eastAsia="zh-CN"/>
          <w14:textFill>
            <w14:solidFill>
              <w14:schemeClr w14:val="tx1"/>
            </w14:solidFill>
          </w14:textFill>
        </w:rPr>
        <w:t>，接受招标方</w:t>
      </w:r>
      <w:r>
        <w:rPr>
          <w:rFonts w:ascii="楷体_GB2312" w:eastAsia="楷体_GB2312"/>
          <w:color w:val="000000" w:themeColor="text1"/>
          <w:sz w:val="24"/>
          <w:lang w:eastAsia="zh-CN"/>
          <w14:textFill>
            <w14:solidFill>
              <w14:schemeClr w14:val="tx1"/>
            </w14:solidFill>
          </w14:textFill>
        </w:rPr>
        <w:t>没收投标保证金、冻结参与新项目资格6个月</w:t>
      </w:r>
      <w:r>
        <w:rPr>
          <w:rFonts w:hint="eastAsia" w:ascii="楷体_GB2312" w:eastAsia="楷体_GB2312"/>
          <w:color w:val="000000" w:themeColor="text1"/>
          <w:sz w:val="24"/>
          <w:lang w:eastAsia="zh-CN"/>
          <w14:textFill>
            <w14:solidFill>
              <w14:schemeClr w14:val="tx1"/>
            </w14:solidFill>
          </w14:textFill>
        </w:rPr>
        <w:t>；</w:t>
      </w:r>
    </w:p>
    <w:p w14:paraId="3D93F19B">
      <w:pPr>
        <w:spacing w:line="400" w:lineRule="exact"/>
        <w:ind w:firstLine="480" w:firstLineChars="200"/>
        <w:jc w:val="both"/>
        <w:rPr>
          <w:rFonts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val="en-US" w:eastAsia="zh-CN"/>
          <w14:textFill>
            <w14:solidFill>
              <w14:schemeClr w14:val="tx1"/>
            </w14:solidFill>
          </w14:textFill>
        </w:rPr>
        <w:t>5、</w:t>
      </w:r>
      <w:r>
        <w:rPr>
          <w:rFonts w:ascii="楷体_GB2312" w:eastAsia="楷体_GB2312"/>
          <w:color w:val="000000" w:themeColor="text1"/>
          <w:sz w:val="24"/>
          <w:lang w:eastAsia="zh-CN"/>
          <w14:textFill>
            <w14:solidFill>
              <w14:schemeClr w14:val="tx1"/>
            </w14:solidFill>
          </w14:textFill>
        </w:rPr>
        <w:t>投标方</w:t>
      </w:r>
      <w:r>
        <w:rPr>
          <w:rFonts w:hint="eastAsia" w:ascii="楷体_GB2312" w:hAnsi="Calibri" w:eastAsia="楷体_GB2312"/>
          <w:color w:val="000000" w:themeColor="text1"/>
          <w:sz w:val="24"/>
          <w:szCs w:val="22"/>
          <w:lang w:eastAsia="zh-CN"/>
          <w14:textFill>
            <w14:solidFill>
              <w14:schemeClr w14:val="tx1"/>
            </w14:solidFill>
          </w14:textFill>
        </w:rPr>
        <w:t>提供虚假合同</w:t>
      </w:r>
      <w:r>
        <w:rPr>
          <w:rFonts w:hint="eastAsia" w:ascii="楷体_GB2312" w:hAnsi="Calibri" w:eastAsia="楷体_GB2312"/>
          <w:color w:val="000000" w:themeColor="text1"/>
          <w:sz w:val="24"/>
          <w:szCs w:val="22"/>
          <w:lang w:eastAsia="zh-CN"/>
          <w14:textFill>
            <w14:solidFill>
              <w14:schemeClr w14:val="tx1"/>
            </w14:solidFill>
          </w14:textFill>
        </w:rPr>
        <w:t>、虚假业绩、虚假验收、伪造或变造公章等材料骗取合同价款的，接受招标方</w:t>
      </w:r>
      <w:r>
        <w:rPr>
          <w:rFonts w:ascii="楷体_GB2312" w:eastAsia="楷体_GB2312"/>
          <w:color w:val="000000" w:themeColor="text1"/>
          <w:sz w:val="24"/>
          <w:lang w:eastAsia="zh-CN"/>
          <w14:textFill>
            <w14:solidFill>
              <w14:schemeClr w14:val="tx1"/>
            </w14:solidFill>
          </w14:textFill>
        </w:rPr>
        <w:t>没收投标保证金、冻结参与新项目资格6个月，处中标价5</w:t>
      </w:r>
      <w:r>
        <w:rPr>
          <w:rFonts w:hint="eastAsia" w:ascii="楷体_GB2312" w:eastAsia="楷体_GB2312"/>
          <w:color w:val="000000" w:themeColor="text1"/>
          <w:sz w:val="24"/>
          <w:lang w:eastAsia="zh-CN"/>
          <w14:textFill>
            <w14:solidFill>
              <w14:schemeClr w14:val="tx1"/>
            </w14:solidFill>
          </w14:textFill>
        </w:rPr>
        <w:t>%的</w:t>
      </w:r>
      <w:r>
        <w:rPr>
          <w:rFonts w:ascii="楷体_GB2312" w:eastAsia="楷体_GB2312"/>
          <w:color w:val="000000" w:themeColor="text1"/>
          <w:sz w:val="24"/>
          <w:lang w:eastAsia="zh-CN"/>
          <w14:textFill>
            <w14:solidFill>
              <w14:schemeClr w14:val="tx1"/>
            </w14:solidFill>
          </w14:textFill>
        </w:rPr>
        <w:t>罚金；</w:t>
      </w:r>
    </w:p>
    <w:p w14:paraId="7BB7AD1F">
      <w:pPr>
        <w:numPr>
          <w:ilvl w:val="0"/>
          <w:numId w:val="0"/>
        </w:numPr>
        <w:spacing w:line="400" w:lineRule="exact"/>
        <w:ind w:firstLine="480" w:firstLineChars="200"/>
        <w:jc w:val="both"/>
        <w:rPr>
          <w:rFonts w:hint="eastAsia"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val="en-US" w:eastAsia="zh-CN"/>
          <w14:textFill>
            <w14:solidFill>
              <w14:schemeClr w14:val="tx1"/>
            </w14:solidFill>
          </w14:textFill>
        </w:rPr>
        <w:t>6、</w:t>
      </w:r>
      <w:r>
        <w:rPr>
          <w:rFonts w:ascii="楷体_GB2312" w:eastAsia="楷体_GB2312"/>
          <w:color w:val="000000" w:themeColor="text1"/>
          <w:sz w:val="24"/>
          <w:lang w:eastAsia="zh-CN"/>
          <w14:textFill>
            <w14:solidFill>
              <w14:schemeClr w14:val="tx1"/>
            </w14:solidFill>
          </w14:textFill>
        </w:rPr>
        <w:t>投标方</w:t>
      </w:r>
      <w:r>
        <w:rPr>
          <w:rFonts w:hint="eastAsia" w:ascii="楷体_GB2312" w:hAnsi="Calibri" w:eastAsia="楷体_GB2312"/>
          <w:color w:val="000000" w:themeColor="text1"/>
          <w:sz w:val="24"/>
          <w:szCs w:val="22"/>
          <w:lang w:eastAsia="zh-CN"/>
          <w14:textFill>
            <w14:solidFill>
              <w14:schemeClr w14:val="tx1"/>
            </w14:solidFill>
          </w14:textFill>
        </w:rPr>
        <w:t>存在恶意诽谤、诬告、陷害竞争对手等行为，接受招标方</w:t>
      </w:r>
      <w:r>
        <w:rPr>
          <w:rFonts w:ascii="楷体_GB2312" w:eastAsia="楷体_GB2312"/>
          <w:color w:val="000000" w:themeColor="text1"/>
          <w:sz w:val="24"/>
          <w:lang w:eastAsia="zh-CN"/>
          <w14:textFill>
            <w14:solidFill>
              <w14:schemeClr w14:val="tx1"/>
            </w14:solidFill>
          </w14:textFill>
        </w:rPr>
        <w:t>没收投标保证金、冻结参与新项目资格6个月</w:t>
      </w:r>
      <w:r>
        <w:rPr>
          <w:rFonts w:hint="eastAsia" w:ascii="楷体_GB2312" w:eastAsia="楷体_GB2312"/>
          <w:color w:val="000000" w:themeColor="text1"/>
          <w:sz w:val="24"/>
          <w:lang w:eastAsia="zh-CN"/>
          <w14:textFill>
            <w14:solidFill>
              <w14:schemeClr w14:val="tx1"/>
            </w14:solidFill>
          </w14:textFill>
        </w:rPr>
        <w:t>；</w:t>
      </w:r>
    </w:p>
    <w:p w14:paraId="346E5132">
      <w:pPr>
        <w:numPr>
          <w:ilvl w:val="0"/>
          <w:numId w:val="0"/>
        </w:numPr>
        <w:spacing w:line="400" w:lineRule="exact"/>
        <w:ind w:firstLine="480" w:firstLineChars="200"/>
        <w:jc w:val="both"/>
        <w:rPr>
          <w:rFonts w:hint="eastAsia"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val="en-US" w:eastAsia="zh-CN"/>
          <w14:textFill>
            <w14:solidFill>
              <w14:schemeClr w14:val="tx1"/>
            </w14:solidFill>
          </w14:textFill>
        </w:rPr>
        <w:t>7、</w:t>
      </w:r>
      <w:r>
        <w:rPr>
          <w:rFonts w:hint="eastAsia" w:ascii="楷体_GB2312" w:eastAsia="楷体_GB2312"/>
          <w:color w:val="000000" w:themeColor="text1"/>
          <w:sz w:val="24"/>
          <w:lang w:eastAsia="zh-CN"/>
          <w14:textFill>
            <w14:solidFill>
              <w14:schemeClr w14:val="tx1"/>
            </w14:solidFill>
          </w14:textFill>
        </w:rPr>
        <w:t>投标方将获取的项目相关信息用于双方合作项目之外的用途，或采取任何方式贬损招标方商誉、降低招标方社会评价等对招标方不利的行为的，接受</w:t>
      </w:r>
      <w:r>
        <w:rPr>
          <w:rFonts w:hint="eastAsia" w:ascii="楷体_GB2312" w:hAnsi="Calibri" w:eastAsia="楷体_GB2312"/>
          <w:color w:val="000000" w:themeColor="text1"/>
          <w:sz w:val="24"/>
          <w:szCs w:val="22"/>
          <w:lang w:eastAsia="zh-CN"/>
          <w14:textFill>
            <w14:solidFill>
              <w14:schemeClr w14:val="tx1"/>
            </w14:solidFill>
          </w14:textFill>
        </w:rPr>
        <w:t>招标方</w:t>
      </w:r>
      <w:r>
        <w:rPr>
          <w:rFonts w:ascii="楷体_GB2312" w:eastAsia="楷体_GB2312"/>
          <w:color w:val="000000" w:themeColor="text1"/>
          <w:sz w:val="24"/>
          <w:lang w:eastAsia="zh-CN"/>
          <w14:textFill>
            <w14:solidFill>
              <w14:schemeClr w14:val="tx1"/>
            </w14:solidFill>
          </w14:textFill>
        </w:rPr>
        <w:t>没收投标保证金、冻结参与新项目资格6个月</w:t>
      </w:r>
      <w:r>
        <w:rPr>
          <w:rFonts w:hint="eastAsia" w:ascii="楷体_GB2312" w:eastAsia="楷体_GB2312"/>
          <w:color w:val="000000" w:themeColor="text1"/>
          <w:sz w:val="24"/>
          <w:lang w:eastAsia="zh-CN"/>
          <w14:textFill>
            <w14:solidFill>
              <w14:schemeClr w14:val="tx1"/>
            </w14:solidFill>
          </w14:textFill>
        </w:rPr>
        <w:t>；</w:t>
      </w:r>
    </w:p>
    <w:p w14:paraId="1A8DF4B1">
      <w:pPr>
        <w:numPr>
          <w:ilvl w:val="0"/>
          <w:numId w:val="0"/>
        </w:numPr>
        <w:spacing w:line="400" w:lineRule="exact"/>
        <w:ind w:firstLine="480" w:firstLineChars="200"/>
        <w:jc w:val="both"/>
        <w:rPr>
          <w:rFonts w:hint="eastAsia"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val="en-US" w:eastAsia="zh-CN"/>
          <w14:textFill>
            <w14:solidFill>
              <w14:schemeClr w14:val="tx1"/>
            </w14:solidFill>
          </w14:textFill>
        </w:rPr>
        <w:t>8、</w:t>
      </w:r>
      <w:r>
        <w:rPr>
          <w:rFonts w:ascii="楷体_GB2312" w:eastAsia="楷体_GB2312"/>
          <w:color w:val="000000" w:themeColor="text1"/>
          <w:sz w:val="24"/>
          <w:lang w:eastAsia="zh-CN"/>
          <w14:textFill>
            <w14:solidFill>
              <w14:schemeClr w14:val="tx1"/>
            </w14:solidFill>
          </w14:textFill>
        </w:rPr>
        <w:t>投标方</w:t>
      </w:r>
      <w:r>
        <w:rPr>
          <w:rFonts w:ascii="楷体_GB2312" w:hAnsi="Calibri" w:eastAsia="楷体_GB2312"/>
          <w:color w:val="000000" w:themeColor="text1"/>
          <w:sz w:val="24"/>
          <w:szCs w:val="22"/>
          <w:lang w:eastAsia="zh-CN"/>
          <w14:textFill>
            <w14:solidFill>
              <w14:schemeClr w14:val="tx1"/>
            </w14:solidFill>
          </w14:textFill>
        </w:rPr>
        <w:t>中标后放弃中标或无正当理由在招标方要求的合理期限内拒不签订商务合同等合同文本</w:t>
      </w:r>
      <w:r>
        <w:rPr>
          <w:rFonts w:ascii="楷体_GB2312" w:hAnsi="Calibri" w:eastAsia="楷体_GB2312"/>
          <w:color w:val="000000" w:themeColor="text1"/>
          <w:sz w:val="24"/>
          <w:szCs w:val="22"/>
          <w:lang w:eastAsia="zh-CN"/>
          <w14:textFill>
            <w14:solidFill>
              <w14:schemeClr w14:val="tx1"/>
            </w14:solidFill>
          </w14:textFill>
        </w:rPr>
        <w:t>、</w:t>
      </w:r>
      <w:r>
        <w:rPr>
          <w:rFonts w:hint="eastAsia" w:ascii="楷体_GB2312" w:hAnsi="Calibri" w:eastAsia="楷体_GB2312"/>
          <w:color w:val="000000" w:themeColor="text1"/>
          <w:sz w:val="24"/>
          <w:szCs w:val="22"/>
          <w:lang w:eastAsia="zh-CN"/>
          <w14:textFill>
            <w14:solidFill>
              <w14:schemeClr w14:val="tx1"/>
            </w14:solidFill>
          </w14:textFill>
        </w:rPr>
        <w:t>技术协议</w:t>
      </w:r>
      <w:r>
        <w:rPr>
          <w:rFonts w:ascii="楷体_GB2312" w:hAnsi="Calibri" w:eastAsia="楷体_GB2312"/>
          <w:color w:val="000000" w:themeColor="text1"/>
          <w:sz w:val="24"/>
          <w:szCs w:val="22"/>
          <w:lang w:eastAsia="zh-CN"/>
          <w14:textFill>
            <w14:solidFill>
              <w14:schemeClr w14:val="tx1"/>
            </w14:solidFill>
          </w14:textFill>
        </w:rPr>
        <w:t>或要求增加额外条件的，接受</w:t>
      </w:r>
      <w:r>
        <w:rPr>
          <w:rFonts w:hint="eastAsia" w:ascii="楷体_GB2312" w:hAnsi="Calibri" w:eastAsia="楷体_GB2312"/>
          <w:color w:val="000000" w:themeColor="text1"/>
          <w:sz w:val="24"/>
          <w:szCs w:val="22"/>
          <w:lang w:eastAsia="zh-CN"/>
          <w14:textFill>
            <w14:solidFill>
              <w14:schemeClr w14:val="tx1"/>
            </w14:solidFill>
          </w14:textFill>
        </w:rPr>
        <w:t>招标方</w:t>
      </w:r>
      <w:r>
        <w:rPr>
          <w:rFonts w:ascii="楷体_GB2312" w:eastAsia="楷体_GB2312"/>
          <w:color w:val="000000" w:themeColor="text1"/>
          <w:sz w:val="24"/>
          <w:lang w:eastAsia="zh-CN"/>
          <w14:textFill>
            <w14:solidFill>
              <w14:schemeClr w14:val="tx1"/>
            </w14:solidFill>
          </w14:textFill>
        </w:rPr>
        <w:t>没收投标保证金、冻结参与新项目资格6个月，处中标价5</w:t>
      </w:r>
      <w:r>
        <w:rPr>
          <w:rFonts w:hint="eastAsia" w:ascii="楷体_GB2312" w:eastAsia="楷体_GB2312"/>
          <w:color w:val="000000" w:themeColor="text1"/>
          <w:sz w:val="24"/>
          <w:lang w:eastAsia="zh-CN"/>
          <w14:textFill>
            <w14:solidFill>
              <w14:schemeClr w14:val="tx1"/>
            </w14:solidFill>
          </w14:textFill>
        </w:rPr>
        <w:t>%的</w:t>
      </w:r>
      <w:r>
        <w:rPr>
          <w:rFonts w:ascii="楷体_GB2312" w:eastAsia="楷体_GB2312"/>
          <w:color w:val="000000" w:themeColor="text1"/>
          <w:sz w:val="24"/>
          <w:lang w:eastAsia="zh-CN"/>
          <w14:textFill>
            <w14:solidFill>
              <w14:schemeClr w14:val="tx1"/>
            </w14:solidFill>
          </w14:textFill>
        </w:rPr>
        <w:t>罚金</w:t>
      </w:r>
      <w:r>
        <w:rPr>
          <w:rFonts w:hint="eastAsia" w:ascii="楷体_GB2312" w:eastAsia="楷体_GB2312"/>
          <w:color w:val="000000" w:themeColor="text1"/>
          <w:sz w:val="24"/>
          <w:lang w:eastAsia="zh-CN"/>
          <w14:textFill>
            <w14:solidFill>
              <w14:schemeClr w14:val="tx1"/>
            </w14:solidFill>
          </w14:textFill>
        </w:rPr>
        <w:t>；</w:t>
      </w:r>
    </w:p>
    <w:p w14:paraId="551BDF5D">
      <w:pPr>
        <w:numPr>
          <w:ilvl w:val="0"/>
          <w:numId w:val="0"/>
        </w:numPr>
        <w:spacing w:line="400" w:lineRule="exact"/>
        <w:ind w:firstLine="480" w:firstLineChars="200"/>
        <w:jc w:val="both"/>
        <w:rPr>
          <w:rFonts w:hint="eastAsia" w:ascii="楷体_GB2312" w:eastAsia="楷体_GB2312"/>
          <w:color w:val="000000" w:themeColor="text1"/>
          <w:sz w:val="24"/>
          <w:lang w:val="en-US" w:eastAsia="zh-CN"/>
          <w14:textFill>
            <w14:solidFill>
              <w14:schemeClr w14:val="tx1"/>
            </w14:solidFill>
          </w14:textFill>
        </w:rPr>
      </w:pPr>
      <w:r>
        <w:rPr>
          <w:rFonts w:hint="eastAsia" w:ascii="楷体_GB2312" w:eastAsia="楷体_GB2312"/>
          <w:color w:val="000000" w:themeColor="text1"/>
          <w:sz w:val="24"/>
          <w:lang w:val="en-US" w:eastAsia="zh-CN"/>
          <w14:textFill>
            <w14:solidFill>
              <w14:schemeClr w14:val="tx1"/>
            </w14:solidFill>
          </w14:textFill>
        </w:rPr>
        <w:t>9、</w:t>
      </w:r>
      <w:r>
        <w:rPr>
          <w:rFonts w:ascii="楷体_GB2312" w:eastAsia="楷体_GB2312"/>
          <w:color w:val="000000" w:themeColor="text1"/>
          <w:sz w:val="24"/>
          <w:lang w:eastAsia="zh-CN"/>
          <w14:textFill>
            <w14:solidFill>
              <w14:schemeClr w14:val="tx1"/>
            </w14:solidFill>
          </w14:textFill>
        </w:rPr>
        <w:t>投标方中标后</w:t>
      </w:r>
      <w:r>
        <w:rPr>
          <w:rFonts w:hint="eastAsia" w:ascii="楷体_GB2312" w:eastAsia="楷体_GB2312"/>
          <w:color w:val="000000" w:themeColor="text1"/>
          <w:sz w:val="24"/>
          <w:lang w:val="en-US" w:eastAsia="zh-CN"/>
          <w14:textFill>
            <w14:solidFill>
              <w14:schemeClr w14:val="tx1"/>
            </w14:solidFill>
          </w14:textFill>
        </w:rPr>
        <w:t>在合同履约过程中，</w:t>
      </w:r>
      <w:r>
        <w:rPr>
          <w:rFonts w:hint="eastAsia" w:ascii="楷体_GB2312" w:eastAsia="楷体_GB2312"/>
          <w:color w:val="000000" w:themeColor="text1"/>
          <w:sz w:val="24"/>
          <w:lang w:eastAsia="zh-CN"/>
          <w14:textFill>
            <w14:solidFill>
              <w14:schemeClr w14:val="tx1"/>
            </w14:solidFill>
          </w14:textFill>
        </w:rPr>
        <w:t>未按照标书、承诺、合同约定执行的，</w:t>
      </w:r>
      <w:r>
        <w:rPr>
          <w:rFonts w:hint="eastAsia" w:ascii="楷体_GB2312" w:eastAsia="楷体_GB2312"/>
          <w:color w:val="000000" w:themeColor="text1"/>
          <w:sz w:val="24"/>
          <w:lang w:val="en-US" w:eastAsia="zh-CN"/>
          <w14:textFill>
            <w14:solidFill>
              <w14:schemeClr w14:val="tx1"/>
            </w14:solidFill>
          </w14:textFill>
        </w:rPr>
        <w:t>将依据合同条款进行处理。</w:t>
      </w:r>
    </w:p>
    <w:p w14:paraId="48BAA4C0">
      <w:pPr>
        <w:numPr>
          <w:ilvl w:val="0"/>
          <w:numId w:val="0"/>
        </w:numPr>
        <w:spacing w:line="400" w:lineRule="exact"/>
        <w:ind w:firstLine="480" w:firstLineChars="200"/>
        <w:jc w:val="both"/>
        <w:rPr>
          <w:rFonts w:hint="eastAsia"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val="en-US" w:eastAsia="zh-CN"/>
          <w14:textFill>
            <w14:solidFill>
              <w14:schemeClr w14:val="tx1"/>
            </w14:solidFill>
          </w14:textFill>
        </w:rPr>
        <w:t>10、</w:t>
      </w:r>
      <w:r>
        <w:rPr>
          <w:rFonts w:ascii="楷体_GB2312" w:eastAsia="楷体_GB2312"/>
          <w:color w:val="000000" w:themeColor="text1"/>
          <w:sz w:val="24"/>
          <w:lang w:eastAsia="zh-CN"/>
          <w14:textFill>
            <w14:solidFill>
              <w14:schemeClr w14:val="tx1"/>
            </w14:solidFill>
          </w14:textFill>
        </w:rPr>
        <w:t>投标方</w:t>
      </w:r>
      <w:r>
        <w:rPr>
          <w:rFonts w:hint="eastAsia" w:ascii="楷体_GB2312" w:eastAsia="楷体_GB2312"/>
          <w:color w:val="000000" w:themeColor="text1"/>
          <w:sz w:val="24"/>
          <w:lang w:eastAsia="zh-CN"/>
          <w14:textFill>
            <w14:solidFill>
              <w14:schemeClr w14:val="tx1"/>
            </w14:solidFill>
          </w14:textFill>
        </w:rPr>
        <w:t>如</w:t>
      </w:r>
      <w:r>
        <w:rPr>
          <w:rFonts w:ascii="楷体_GB2312" w:eastAsia="楷体_GB2312"/>
          <w:color w:val="000000" w:themeColor="text1"/>
          <w:sz w:val="24"/>
          <w:lang w:eastAsia="zh-CN"/>
          <w14:textFill>
            <w14:solidFill>
              <w14:schemeClr w14:val="tx1"/>
            </w14:solidFill>
          </w14:textFill>
        </w:rPr>
        <w:t>发生违约但尚未按</w:t>
      </w:r>
      <w:r>
        <w:rPr>
          <w:rFonts w:hint="eastAsia" w:ascii="楷体_GB2312" w:eastAsia="楷体_GB2312"/>
          <w:color w:val="000000" w:themeColor="text1"/>
          <w:sz w:val="24"/>
          <w:lang w:eastAsia="zh-CN"/>
          <w14:textFill>
            <w14:solidFill>
              <w14:schemeClr w14:val="tx1"/>
            </w14:solidFill>
          </w14:textFill>
        </w:rPr>
        <w:t>要求</w:t>
      </w:r>
      <w:r>
        <w:rPr>
          <w:rFonts w:ascii="楷体_GB2312" w:eastAsia="楷体_GB2312"/>
          <w:color w:val="000000" w:themeColor="text1"/>
          <w:sz w:val="24"/>
          <w:lang w:eastAsia="zh-CN"/>
          <w14:textFill>
            <w14:solidFill>
              <w14:schemeClr w14:val="tx1"/>
            </w14:solidFill>
          </w14:textFill>
        </w:rPr>
        <w:t>足额缴纳投标保证金</w:t>
      </w:r>
      <w:r>
        <w:rPr>
          <w:rFonts w:hint="eastAsia" w:ascii="楷体_GB2312" w:eastAsia="楷体_GB2312"/>
          <w:color w:val="000000" w:themeColor="text1"/>
          <w:sz w:val="24"/>
          <w:lang w:val="en-US" w:eastAsia="zh-CN"/>
          <w14:textFill>
            <w14:solidFill>
              <w14:schemeClr w14:val="tx1"/>
            </w14:solidFill>
          </w14:textFill>
        </w:rPr>
        <w:t>或履约保证金</w:t>
      </w:r>
      <w:r>
        <w:rPr>
          <w:rFonts w:ascii="楷体_GB2312" w:eastAsia="楷体_GB2312"/>
          <w:color w:val="000000" w:themeColor="text1"/>
          <w:sz w:val="24"/>
          <w:lang w:eastAsia="zh-CN"/>
          <w14:textFill>
            <w14:solidFill>
              <w14:schemeClr w14:val="tx1"/>
            </w14:solidFill>
          </w14:textFill>
        </w:rPr>
        <w:t>的，接受自收到招标方通知之日起10个工作日内完成投标保证金</w:t>
      </w:r>
      <w:r>
        <w:rPr>
          <w:rFonts w:hint="eastAsia" w:ascii="楷体_GB2312" w:eastAsia="楷体_GB2312"/>
          <w:color w:val="000000" w:themeColor="text1"/>
          <w:sz w:val="24"/>
          <w:lang w:val="en-US" w:eastAsia="zh-CN"/>
          <w14:textFill>
            <w14:solidFill>
              <w14:schemeClr w14:val="tx1"/>
            </w14:solidFill>
          </w14:textFill>
        </w:rPr>
        <w:t>或履约保证金</w:t>
      </w:r>
      <w:r>
        <w:rPr>
          <w:rFonts w:ascii="楷体_GB2312" w:eastAsia="楷体_GB2312"/>
          <w:color w:val="000000" w:themeColor="text1"/>
          <w:sz w:val="24"/>
          <w:lang w:eastAsia="zh-CN"/>
          <w14:textFill>
            <w14:solidFill>
              <w14:schemeClr w14:val="tx1"/>
            </w14:solidFill>
          </w14:textFill>
        </w:rPr>
        <w:t>的缴纳。如投标方不按上述要求缴纳的，</w:t>
      </w:r>
      <w:r>
        <w:rPr>
          <w:rFonts w:ascii="楷体_GB2312" w:hAnsi="Calibri" w:eastAsia="楷体_GB2312"/>
          <w:color w:val="000000" w:themeColor="text1"/>
          <w:sz w:val="24"/>
          <w:szCs w:val="22"/>
          <w:lang w:eastAsia="zh-CN"/>
          <w14:textFill>
            <w14:solidFill>
              <w14:schemeClr w14:val="tx1"/>
            </w14:solidFill>
          </w14:textFill>
        </w:rPr>
        <w:t>接受</w:t>
      </w:r>
      <w:r>
        <w:rPr>
          <w:rFonts w:hint="eastAsia" w:ascii="楷体_GB2312" w:hAnsi="Calibri" w:eastAsia="楷体_GB2312"/>
          <w:color w:val="000000" w:themeColor="text1"/>
          <w:sz w:val="24"/>
          <w:szCs w:val="22"/>
          <w:lang w:eastAsia="zh-CN"/>
          <w14:textFill>
            <w14:solidFill>
              <w14:schemeClr w14:val="tx1"/>
            </w14:solidFill>
          </w14:textFill>
        </w:rPr>
        <w:t>招标方</w:t>
      </w:r>
      <w:r>
        <w:rPr>
          <w:rFonts w:hint="eastAsia" w:ascii="楷体_GB2312" w:eastAsia="楷体_GB2312"/>
          <w:color w:val="000000" w:themeColor="text1"/>
          <w:sz w:val="24"/>
          <w:lang w:eastAsia="zh-CN"/>
          <w14:textFill>
            <w14:solidFill>
              <w14:schemeClr w14:val="tx1"/>
            </w14:solidFill>
          </w14:textFill>
        </w:rPr>
        <w:t>永久冻结参与新项目资格；</w:t>
      </w:r>
    </w:p>
    <w:p w14:paraId="6F8221F6">
      <w:pPr>
        <w:numPr>
          <w:ilvl w:val="0"/>
          <w:numId w:val="0"/>
        </w:numPr>
        <w:spacing w:line="400" w:lineRule="exact"/>
        <w:ind w:firstLine="480" w:firstLineChars="200"/>
        <w:jc w:val="both"/>
        <w:rPr>
          <w:rFonts w:hint="eastAsia" w:ascii="楷体_GB2312" w:eastAsia="楷体_GB2312"/>
          <w:color w:val="000000" w:themeColor="text1"/>
          <w:sz w:val="24"/>
          <w:lang w:val="en-US" w:eastAsia="zh-CN"/>
          <w14:textFill>
            <w14:solidFill>
              <w14:schemeClr w14:val="tx1"/>
            </w14:solidFill>
          </w14:textFill>
        </w:rPr>
      </w:pPr>
      <w:r>
        <w:rPr>
          <w:rFonts w:hint="eastAsia" w:ascii="楷体_GB2312" w:eastAsia="楷体_GB2312"/>
          <w:color w:val="000000" w:themeColor="text1"/>
          <w:sz w:val="24"/>
          <w:lang w:val="en-US" w:eastAsia="zh-CN"/>
          <w14:textFill>
            <w14:solidFill>
              <w14:schemeClr w14:val="tx1"/>
            </w14:solidFill>
          </w14:textFill>
        </w:rPr>
        <w:t>11、</w:t>
      </w:r>
      <w:r>
        <w:rPr>
          <w:rFonts w:ascii="楷体_GB2312" w:eastAsia="楷体_GB2312"/>
          <w:color w:val="000000" w:themeColor="text1"/>
          <w:sz w:val="24"/>
          <w:lang w:eastAsia="zh-CN"/>
          <w14:textFill>
            <w14:solidFill>
              <w14:schemeClr w14:val="tx1"/>
            </w14:solidFill>
          </w14:textFill>
        </w:rPr>
        <w:t>投标方</w:t>
      </w:r>
      <w:r>
        <w:rPr>
          <w:rFonts w:hint="eastAsia" w:ascii="楷体_GB2312" w:eastAsia="楷体_GB2312"/>
          <w:color w:val="000000" w:themeColor="text1"/>
          <w:sz w:val="24"/>
          <w:lang w:eastAsia="zh-CN"/>
          <w14:textFill>
            <w14:solidFill>
              <w14:schemeClr w14:val="tx1"/>
            </w14:solidFill>
          </w14:textFill>
        </w:rPr>
        <w:t>或法定代表人、股东、实际控制人在招投标过程中被人民法院列为失信被执行人或被人民法院限制高消费，或</w:t>
      </w:r>
      <w:r>
        <w:rPr>
          <w:rFonts w:ascii="楷体_GB2312" w:eastAsia="楷体_GB2312"/>
          <w:color w:val="000000" w:themeColor="text1"/>
          <w:sz w:val="24"/>
          <w:lang w:eastAsia="zh-CN"/>
          <w14:textFill>
            <w14:solidFill>
              <w14:schemeClr w14:val="tx1"/>
            </w14:solidFill>
          </w14:textFill>
        </w:rPr>
        <w:t>投标方</w:t>
      </w:r>
      <w:r>
        <w:rPr>
          <w:rFonts w:hint="eastAsia" w:ascii="楷体_GB2312" w:eastAsia="楷体_GB2312"/>
          <w:color w:val="000000" w:themeColor="text1"/>
          <w:sz w:val="24"/>
          <w:lang w:eastAsia="zh-CN"/>
          <w14:textFill>
            <w14:solidFill>
              <w14:schemeClr w14:val="tx1"/>
            </w14:solidFill>
          </w14:textFill>
        </w:rPr>
        <w:t>被行政机关列为经营异常等可能对合同履行具有不利影响的，接受</w:t>
      </w:r>
      <w:r>
        <w:rPr>
          <w:rFonts w:hint="eastAsia" w:ascii="楷体_GB2312" w:hAnsi="Calibri" w:eastAsia="楷体_GB2312"/>
          <w:color w:val="000000" w:themeColor="text1"/>
          <w:sz w:val="24"/>
          <w:szCs w:val="22"/>
          <w:lang w:eastAsia="zh-CN"/>
          <w14:textFill>
            <w14:solidFill>
              <w14:schemeClr w14:val="tx1"/>
            </w14:solidFill>
          </w14:textFill>
        </w:rPr>
        <w:t>招标方</w:t>
      </w:r>
      <w:r>
        <w:rPr>
          <w:rFonts w:ascii="楷体_GB2312" w:eastAsia="楷体_GB2312"/>
          <w:color w:val="000000" w:themeColor="text1"/>
          <w:sz w:val="24"/>
          <w:lang w:eastAsia="zh-CN"/>
          <w14:textFill>
            <w14:solidFill>
              <w14:schemeClr w14:val="tx1"/>
            </w14:solidFill>
          </w14:textFill>
        </w:rPr>
        <w:t>没收投标保证金、</w:t>
      </w:r>
      <w:r>
        <w:rPr>
          <w:rFonts w:hint="eastAsia" w:ascii="楷体_GB2312" w:eastAsia="楷体_GB2312"/>
          <w:color w:val="000000" w:themeColor="text1"/>
          <w:sz w:val="24"/>
          <w:lang w:val="en-US" w:eastAsia="zh-CN"/>
          <w14:textFill>
            <w14:solidFill>
              <w14:schemeClr w14:val="tx1"/>
            </w14:solidFill>
          </w14:textFill>
        </w:rPr>
        <w:t>取消投标资格；</w:t>
      </w:r>
    </w:p>
    <w:p w14:paraId="3AC06A54">
      <w:pPr>
        <w:numPr>
          <w:ilvl w:val="0"/>
          <w:numId w:val="0"/>
        </w:numPr>
        <w:spacing w:line="400" w:lineRule="exact"/>
        <w:ind w:firstLine="480" w:firstLineChars="200"/>
        <w:jc w:val="both"/>
        <w:rPr>
          <w:rFonts w:hint="eastAsia" w:ascii="楷体_GB2312" w:hAnsi="Calibri" w:eastAsia="楷体_GB2312"/>
          <w:color w:val="000000" w:themeColor="text1"/>
          <w:sz w:val="24"/>
          <w:szCs w:val="22"/>
          <w:lang w:val="en-US" w:eastAsia="zh-CN"/>
          <w14:textFill>
            <w14:solidFill>
              <w14:schemeClr w14:val="tx1"/>
            </w14:solidFill>
          </w14:textFill>
        </w:rPr>
      </w:pPr>
      <w:r>
        <w:rPr>
          <w:rFonts w:hint="eastAsia" w:ascii="楷体_GB2312" w:eastAsia="楷体_GB2312"/>
          <w:color w:val="000000" w:themeColor="text1"/>
          <w:sz w:val="24"/>
          <w:lang w:val="en-US" w:eastAsia="zh-CN"/>
          <w14:textFill>
            <w14:solidFill>
              <w14:schemeClr w14:val="tx1"/>
            </w14:solidFill>
          </w14:textFill>
        </w:rPr>
        <w:t>12、</w:t>
      </w:r>
      <w:r>
        <w:rPr>
          <w:rFonts w:ascii="楷体_GB2312" w:eastAsia="楷体_GB2312"/>
          <w:color w:val="000000" w:themeColor="text1"/>
          <w:sz w:val="24"/>
          <w:lang w:eastAsia="zh-CN"/>
          <w14:textFill>
            <w14:solidFill>
              <w14:schemeClr w14:val="tx1"/>
            </w14:solidFill>
          </w14:textFill>
        </w:rPr>
        <w:t>投标方</w:t>
      </w:r>
      <w:r>
        <w:rPr>
          <w:rFonts w:hint="eastAsia" w:ascii="楷体_GB2312" w:hAnsi="Calibri" w:eastAsia="楷体_GB2312"/>
          <w:color w:val="000000" w:themeColor="text1"/>
          <w:sz w:val="24"/>
          <w:szCs w:val="22"/>
          <w:lang w:eastAsia="zh-CN"/>
          <w14:textFill>
            <w14:solidFill>
              <w14:schemeClr w14:val="tx1"/>
            </w14:solidFill>
          </w14:textFill>
        </w:rPr>
        <w:t>聘用招标方离职未满3年员工参与项目，或招标方离职未满3年员工为投标方实际控制人、法定代表人、高管</w:t>
      </w:r>
      <w:r>
        <w:rPr>
          <w:rFonts w:hint="eastAsia" w:ascii="楷体_GB2312" w:hAnsi="Calibri" w:eastAsia="楷体_GB2312"/>
          <w:color w:val="000000" w:themeColor="text1"/>
          <w:sz w:val="24"/>
          <w:szCs w:val="22"/>
          <w:lang w:val="en-US" w:eastAsia="zh-CN"/>
          <w14:textFill>
            <w14:solidFill>
              <w14:schemeClr w14:val="tx1"/>
            </w14:solidFill>
          </w14:textFill>
        </w:rPr>
        <w:t>或奇瑞业务负责人/接口人且</w:t>
      </w:r>
      <w:r>
        <w:rPr>
          <w:rFonts w:hint="eastAsia" w:ascii="楷体_GB2312" w:hAnsi="Calibri" w:eastAsia="楷体_GB2312"/>
          <w:color w:val="000000" w:themeColor="text1"/>
          <w:sz w:val="24"/>
          <w:szCs w:val="22"/>
          <w:lang w:eastAsia="zh-CN"/>
          <w14:textFill>
            <w14:solidFill>
              <w14:schemeClr w14:val="tx1"/>
            </w14:solidFill>
          </w14:textFill>
        </w:rPr>
        <w:t>参与</w:t>
      </w:r>
      <w:r>
        <w:rPr>
          <w:rFonts w:hint="eastAsia" w:ascii="楷体_GB2312" w:hAnsi="Calibri" w:eastAsia="楷体_GB2312"/>
          <w:color w:val="000000" w:themeColor="text1"/>
          <w:sz w:val="24"/>
          <w:szCs w:val="22"/>
          <w:lang w:val="en-US" w:eastAsia="zh-CN"/>
          <w14:textFill>
            <w14:solidFill>
              <w14:schemeClr w14:val="tx1"/>
            </w14:solidFill>
          </w14:textFill>
        </w:rPr>
        <w:t>招标方</w:t>
      </w:r>
      <w:r>
        <w:rPr>
          <w:rFonts w:hint="eastAsia" w:ascii="楷体_GB2312" w:hAnsi="Calibri" w:eastAsia="楷体_GB2312"/>
          <w:color w:val="000000" w:themeColor="text1"/>
          <w:sz w:val="24"/>
          <w:szCs w:val="22"/>
          <w:lang w:eastAsia="zh-CN"/>
          <w14:textFill>
            <w14:solidFill>
              <w14:schemeClr w14:val="tx1"/>
            </w14:solidFill>
          </w14:textFill>
        </w:rPr>
        <w:t>项目，接受招标方</w:t>
      </w:r>
      <w:r>
        <w:rPr>
          <w:rFonts w:ascii="楷体_GB2312" w:eastAsia="楷体_GB2312"/>
          <w:color w:val="000000" w:themeColor="text1"/>
          <w:sz w:val="24"/>
          <w:lang w:eastAsia="zh-CN"/>
          <w14:textFill>
            <w14:solidFill>
              <w14:schemeClr w14:val="tx1"/>
            </w14:solidFill>
          </w14:textFill>
        </w:rPr>
        <w:t>没收投标保证金、冻结参与新项目资格</w:t>
      </w:r>
      <w:r>
        <w:rPr>
          <w:rFonts w:hint="eastAsia" w:ascii="楷体_GB2312" w:eastAsia="楷体_GB2312"/>
          <w:color w:val="000000" w:themeColor="text1"/>
          <w:sz w:val="24"/>
          <w:lang w:val="en-US" w:eastAsia="zh-CN"/>
          <w14:textFill>
            <w14:solidFill>
              <w14:schemeClr w14:val="tx1"/>
            </w14:solidFill>
          </w14:textFill>
        </w:rPr>
        <w:t xml:space="preserve"> N+6个月</w:t>
      </w:r>
      <w:r>
        <w:rPr>
          <w:rFonts w:hint="eastAsia" w:ascii="楷体_GB2312" w:hAnsi="Calibri" w:eastAsia="楷体_GB2312"/>
          <w:color w:val="000000" w:themeColor="text1"/>
          <w:sz w:val="24"/>
          <w:szCs w:val="22"/>
          <w:lang w:val="en-US" w:eastAsia="zh-CN"/>
          <w14:textFill>
            <w14:solidFill>
              <w14:schemeClr w14:val="tx1"/>
            </w14:solidFill>
          </w14:textFill>
        </w:rPr>
        <w:t>（按离职员工离职日满3年+6个月时长冻结）；</w:t>
      </w:r>
    </w:p>
    <w:p w14:paraId="0F8CB77D">
      <w:pPr>
        <w:numPr>
          <w:ilvl w:val="0"/>
          <w:numId w:val="0"/>
        </w:numPr>
        <w:spacing w:line="400" w:lineRule="exact"/>
        <w:ind w:firstLine="480" w:firstLineChars="200"/>
        <w:jc w:val="both"/>
        <w:rPr>
          <w:rFonts w:hint="default" w:ascii="楷体_GB2312" w:eastAsia="楷体_GB2312"/>
          <w:color w:val="000000" w:themeColor="text1"/>
          <w:sz w:val="24"/>
          <w:lang w:val="en-US" w:eastAsia="zh-CN"/>
          <w14:textFill>
            <w14:solidFill>
              <w14:schemeClr w14:val="tx1"/>
            </w14:solidFill>
          </w14:textFill>
        </w:rPr>
      </w:pPr>
      <w:r>
        <w:rPr>
          <w:rFonts w:hint="eastAsia" w:ascii="楷体_GB2312" w:eastAsia="楷体_GB2312"/>
          <w:color w:val="000000" w:themeColor="text1"/>
          <w:sz w:val="24"/>
          <w:lang w:val="en-US" w:eastAsia="zh-CN"/>
          <w14:textFill>
            <w14:solidFill>
              <w14:schemeClr w14:val="tx1"/>
            </w14:solidFill>
          </w14:textFill>
        </w:rPr>
        <w:t>13、招标方在职员工或直系亲属私自开公司或参股的，以</w:t>
      </w:r>
      <w:r>
        <w:rPr>
          <w:rFonts w:ascii="楷体_GB2312" w:eastAsia="楷体_GB2312"/>
          <w:color w:val="000000" w:themeColor="text1"/>
          <w:sz w:val="24"/>
          <w:lang w:eastAsia="zh-CN"/>
          <w14:textFill>
            <w14:solidFill>
              <w14:schemeClr w14:val="tx1"/>
            </w14:solidFill>
          </w14:textFill>
        </w:rPr>
        <w:t>投标方</w:t>
      </w:r>
      <w:r>
        <w:rPr>
          <w:rFonts w:hint="eastAsia" w:ascii="楷体_GB2312" w:eastAsia="楷体_GB2312"/>
          <w:color w:val="000000" w:themeColor="text1"/>
          <w:sz w:val="24"/>
          <w:lang w:val="en-US" w:eastAsia="zh-CN"/>
          <w14:textFill>
            <w14:solidFill>
              <w14:schemeClr w14:val="tx1"/>
            </w14:solidFill>
          </w14:textFill>
        </w:rPr>
        <w:t>身份参与招标方项目的</w:t>
      </w:r>
      <w:r>
        <w:rPr>
          <w:rFonts w:ascii="楷体_GB2312" w:eastAsia="楷体_GB2312"/>
          <w:color w:val="000000" w:themeColor="text1"/>
          <w:sz w:val="24"/>
          <w:lang w:eastAsia="zh-CN"/>
          <w14:textFill>
            <w14:solidFill>
              <w14:schemeClr w14:val="tx1"/>
            </w14:solidFill>
          </w14:textFill>
        </w:rPr>
        <w:t>（包括但不限于持股、隐名持股、代持股、雇佣关系、业务合作/配合关系、私人借贷或担保关系、给予或获取任何利益）</w:t>
      </w:r>
      <w:r>
        <w:rPr>
          <w:rFonts w:hint="eastAsia" w:ascii="楷体_GB2312" w:eastAsia="楷体_GB2312"/>
          <w:color w:val="000000" w:themeColor="text1"/>
          <w:sz w:val="24"/>
          <w:lang w:eastAsia="zh-CN"/>
          <w14:textFill>
            <w14:solidFill>
              <w14:schemeClr w14:val="tx1"/>
            </w14:solidFill>
          </w14:textFill>
        </w:rPr>
        <w:t>，接受招标方</w:t>
      </w:r>
      <w:r>
        <w:rPr>
          <w:rFonts w:ascii="楷体_GB2312" w:eastAsia="楷体_GB2312"/>
          <w:color w:val="000000" w:themeColor="text1"/>
          <w:sz w:val="24"/>
          <w:lang w:eastAsia="zh-CN"/>
          <w14:textFill>
            <w14:solidFill>
              <w14:schemeClr w14:val="tx1"/>
            </w14:solidFill>
          </w14:textFill>
        </w:rPr>
        <w:t>没收投标保证金</w:t>
      </w:r>
      <w:r>
        <w:rPr>
          <w:rFonts w:hint="eastAsia" w:ascii="楷体_GB2312" w:eastAsia="楷体_GB2312"/>
          <w:color w:val="000000" w:themeColor="text1"/>
          <w:sz w:val="24"/>
          <w:lang w:eastAsia="zh-CN"/>
          <w14:textFill>
            <w14:solidFill>
              <w14:schemeClr w14:val="tx1"/>
            </w14:solidFill>
          </w14:textFill>
        </w:rPr>
        <w:t>，</w:t>
      </w:r>
      <w:r>
        <w:rPr>
          <w:rFonts w:hint="eastAsia" w:ascii="楷体_GB2312" w:eastAsia="楷体_GB2312"/>
          <w:color w:val="000000" w:themeColor="text1"/>
          <w:sz w:val="24"/>
          <w:lang w:val="en-US" w:eastAsia="zh-CN"/>
          <w14:textFill>
            <w14:solidFill>
              <w14:schemeClr w14:val="tx1"/>
            </w14:solidFill>
          </w14:textFill>
        </w:rPr>
        <w:t>永久冻结，</w:t>
      </w:r>
      <w:r>
        <w:rPr>
          <w:rFonts w:ascii="楷体_GB2312" w:eastAsia="楷体_GB2312"/>
          <w:color w:val="000000" w:themeColor="text1"/>
          <w:sz w:val="24"/>
          <w:lang w:eastAsia="zh-CN"/>
          <w14:textFill>
            <w14:solidFill>
              <w14:schemeClr w14:val="tx1"/>
            </w14:solidFill>
          </w14:textFill>
        </w:rPr>
        <w:t>处中标价5</w:t>
      </w:r>
      <w:r>
        <w:rPr>
          <w:rFonts w:hint="eastAsia" w:ascii="楷体_GB2312" w:eastAsia="楷体_GB2312"/>
          <w:color w:val="000000" w:themeColor="text1"/>
          <w:sz w:val="24"/>
          <w:lang w:eastAsia="zh-CN"/>
          <w14:textFill>
            <w14:solidFill>
              <w14:schemeClr w14:val="tx1"/>
            </w14:solidFill>
          </w14:textFill>
        </w:rPr>
        <w:t>%的</w:t>
      </w:r>
      <w:r>
        <w:rPr>
          <w:rFonts w:ascii="楷体_GB2312" w:eastAsia="楷体_GB2312"/>
          <w:color w:val="000000" w:themeColor="text1"/>
          <w:sz w:val="24"/>
          <w:lang w:eastAsia="zh-CN"/>
          <w14:textFill>
            <w14:solidFill>
              <w14:schemeClr w14:val="tx1"/>
            </w14:solidFill>
          </w14:textFill>
        </w:rPr>
        <w:t>罚金</w:t>
      </w:r>
      <w:r>
        <w:rPr>
          <w:rFonts w:hint="eastAsia" w:ascii="楷体_GB2312" w:eastAsia="楷体_GB2312"/>
          <w:color w:val="000000" w:themeColor="text1"/>
          <w:sz w:val="24"/>
          <w:lang w:eastAsia="zh-CN"/>
          <w14:textFill>
            <w14:solidFill>
              <w14:schemeClr w14:val="tx1"/>
            </w14:solidFill>
          </w14:textFill>
        </w:rPr>
        <w:t>；</w:t>
      </w:r>
    </w:p>
    <w:p w14:paraId="3617FCFE">
      <w:pPr>
        <w:numPr>
          <w:ilvl w:val="0"/>
          <w:numId w:val="0"/>
        </w:numPr>
        <w:spacing w:line="400" w:lineRule="exact"/>
        <w:ind w:firstLine="480" w:firstLineChars="200"/>
        <w:jc w:val="both"/>
        <w:rPr>
          <w:rFonts w:hint="eastAsia" w:ascii="楷体_GB2312" w:eastAsia="楷体_GB2312"/>
          <w:color w:val="000000" w:themeColor="text1"/>
          <w:sz w:val="24"/>
          <w:lang w:eastAsia="zh-CN"/>
          <w14:textFill>
            <w14:solidFill>
              <w14:schemeClr w14:val="tx1"/>
            </w14:solidFill>
          </w14:textFill>
        </w:rPr>
      </w:pPr>
      <w:r>
        <w:rPr>
          <w:rFonts w:hint="eastAsia" w:ascii="楷体_GB2312" w:hAnsi="Calibri" w:eastAsia="楷体_GB2312"/>
          <w:color w:val="000000" w:themeColor="text1"/>
          <w:sz w:val="24"/>
          <w:szCs w:val="22"/>
          <w:lang w:val="en-US" w:eastAsia="zh-CN"/>
          <w14:textFill>
            <w14:solidFill>
              <w14:schemeClr w14:val="tx1"/>
            </w14:solidFill>
          </w14:textFill>
        </w:rPr>
        <w:t>14、</w:t>
      </w:r>
      <w:r>
        <w:rPr>
          <w:rFonts w:ascii="楷体_GB2312" w:eastAsia="楷体_GB2312"/>
          <w:color w:val="000000" w:themeColor="text1"/>
          <w:sz w:val="24"/>
          <w:lang w:eastAsia="zh-CN"/>
          <w14:textFill>
            <w14:solidFill>
              <w14:schemeClr w14:val="tx1"/>
            </w14:solidFill>
          </w14:textFill>
        </w:rPr>
        <w:t>投标方违反</w:t>
      </w:r>
      <w:r>
        <w:rPr>
          <w:rFonts w:hint="eastAsia" w:ascii="楷体_GB2312" w:eastAsia="楷体_GB2312"/>
          <w:color w:val="000000" w:themeColor="text1"/>
          <w:sz w:val="24"/>
          <w:lang w:eastAsia="zh-CN"/>
          <w14:textFill>
            <w14:solidFill>
              <w14:schemeClr w14:val="tx1"/>
            </w14:solidFill>
          </w14:textFill>
        </w:rPr>
        <w:t>《“阳光工程”廉洁协议》</w:t>
      </w:r>
      <w:r>
        <w:rPr>
          <w:rFonts w:ascii="楷体_GB2312" w:eastAsia="楷体_GB2312"/>
          <w:color w:val="000000" w:themeColor="text1"/>
          <w:sz w:val="24"/>
          <w:lang w:eastAsia="zh-CN"/>
          <w14:textFill>
            <w14:solidFill>
              <w14:schemeClr w14:val="tx1"/>
            </w14:solidFill>
          </w14:textFill>
        </w:rPr>
        <w:t>的，接受</w:t>
      </w:r>
      <w:r>
        <w:rPr>
          <w:rFonts w:hint="eastAsia" w:ascii="楷体_GB2312" w:eastAsia="楷体_GB2312"/>
          <w:color w:val="000000" w:themeColor="text1"/>
          <w:sz w:val="24"/>
          <w:lang w:eastAsia="zh-CN"/>
          <w14:textFill>
            <w14:solidFill>
              <w14:schemeClr w14:val="tx1"/>
            </w14:solidFill>
          </w14:textFill>
        </w:rPr>
        <w:t>招标方</w:t>
      </w:r>
      <w:r>
        <w:rPr>
          <w:rFonts w:ascii="楷体_GB2312" w:eastAsia="楷体_GB2312"/>
          <w:color w:val="000000" w:themeColor="text1"/>
          <w:sz w:val="24"/>
          <w:lang w:eastAsia="zh-CN"/>
          <w14:textFill>
            <w14:solidFill>
              <w14:schemeClr w14:val="tx1"/>
            </w14:solidFill>
          </w14:textFill>
        </w:rPr>
        <w:t>没收投标保证金、冻结参与新项目资格</w:t>
      </w:r>
      <w:r>
        <w:rPr>
          <w:rFonts w:hint="eastAsia" w:ascii="楷体_GB2312" w:eastAsia="楷体_GB2312"/>
          <w:color w:val="000000" w:themeColor="text1"/>
          <w:sz w:val="24"/>
          <w:lang w:val="en-US" w:eastAsia="zh-CN"/>
          <w14:textFill>
            <w14:solidFill>
              <w14:schemeClr w14:val="tx1"/>
            </w14:solidFill>
          </w14:textFill>
        </w:rPr>
        <w:t>6个月至永久冻结</w:t>
      </w:r>
      <w:r>
        <w:rPr>
          <w:rFonts w:ascii="楷体_GB2312" w:eastAsia="楷体_GB2312"/>
          <w:color w:val="000000" w:themeColor="text1"/>
          <w:sz w:val="24"/>
          <w:lang w:eastAsia="zh-CN"/>
          <w14:textFill>
            <w14:solidFill>
              <w14:schemeClr w14:val="tx1"/>
            </w14:solidFill>
          </w14:textFill>
        </w:rPr>
        <w:t>（根据情节严重程度），处投标价</w:t>
      </w:r>
      <w:r>
        <w:rPr>
          <w:rFonts w:hint="eastAsia" w:ascii="楷体_GB2312" w:eastAsia="楷体_GB2312"/>
          <w:color w:val="000000" w:themeColor="text1"/>
          <w:sz w:val="24"/>
          <w:lang w:val="en-US" w:eastAsia="zh-CN"/>
          <w14:textFill>
            <w14:solidFill>
              <w14:schemeClr w14:val="tx1"/>
            </w14:solidFill>
          </w14:textFill>
        </w:rPr>
        <w:t>或项目合同价2.</w:t>
      </w:r>
      <w:r>
        <w:rPr>
          <w:rFonts w:ascii="楷体_GB2312" w:eastAsia="楷体_GB2312"/>
          <w:color w:val="000000" w:themeColor="text1"/>
          <w:sz w:val="24"/>
          <w:lang w:eastAsia="zh-CN"/>
          <w14:textFill>
            <w14:solidFill>
              <w14:schemeClr w14:val="tx1"/>
            </w14:solidFill>
          </w14:textFill>
        </w:rPr>
        <w:t>5</w:t>
      </w:r>
      <w:r>
        <w:rPr>
          <w:rFonts w:hint="eastAsia" w:ascii="楷体_GB2312" w:eastAsia="楷体_GB2312"/>
          <w:color w:val="000000" w:themeColor="text1"/>
          <w:sz w:val="24"/>
          <w:lang w:eastAsia="zh-CN"/>
          <w14:textFill>
            <w14:solidFill>
              <w14:schemeClr w14:val="tx1"/>
            </w14:solidFill>
          </w14:textFill>
        </w:rPr>
        <w:t>%</w:t>
      </w:r>
      <w:r>
        <w:rPr>
          <w:rFonts w:hint="eastAsia" w:ascii="楷体_GB2312" w:eastAsia="楷体_GB2312"/>
          <w:color w:val="000000" w:themeColor="text1"/>
          <w:sz w:val="24"/>
          <w:lang w:val="en-US" w:eastAsia="zh-CN"/>
          <w14:textFill>
            <w14:solidFill>
              <w14:schemeClr w14:val="tx1"/>
            </w14:solidFill>
          </w14:textFill>
        </w:rPr>
        <w:t>-5%不等</w:t>
      </w:r>
      <w:r>
        <w:rPr>
          <w:rFonts w:hint="eastAsia" w:ascii="楷体_GB2312" w:eastAsia="楷体_GB2312"/>
          <w:color w:val="000000" w:themeColor="text1"/>
          <w:sz w:val="24"/>
          <w:lang w:eastAsia="zh-CN"/>
          <w14:textFill>
            <w14:solidFill>
              <w14:schemeClr w14:val="tx1"/>
            </w14:solidFill>
          </w14:textFill>
        </w:rPr>
        <w:t>的</w:t>
      </w:r>
      <w:r>
        <w:rPr>
          <w:rFonts w:ascii="楷体_GB2312" w:eastAsia="楷体_GB2312"/>
          <w:color w:val="000000" w:themeColor="text1"/>
          <w:sz w:val="24"/>
          <w:lang w:eastAsia="zh-CN"/>
          <w14:textFill>
            <w14:solidFill>
              <w14:schemeClr w14:val="tx1"/>
            </w14:solidFill>
          </w14:textFill>
        </w:rPr>
        <w:t>罚金</w:t>
      </w:r>
      <w:r>
        <w:rPr>
          <w:rFonts w:hint="eastAsia" w:ascii="楷体_GB2312" w:eastAsia="楷体_GB2312"/>
          <w:color w:val="000000" w:themeColor="text1"/>
          <w:sz w:val="24"/>
          <w:lang w:eastAsia="zh-CN"/>
          <w14:textFill>
            <w14:solidFill>
              <w14:schemeClr w14:val="tx1"/>
            </w14:solidFill>
          </w14:textFill>
        </w:rPr>
        <w:t>，涉嫌犯罪的，报请司法机关追究</w:t>
      </w:r>
      <w:r>
        <w:rPr>
          <w:rFonts w:ascii="楷体_GB2312" w:eastAsia="楷体_GB2312"/>
          <w:color w:val="000000" w:themeColor="text1"/>
          <w:sz w:val="24"/>
          <w:lang w:eastAsia="zh-CN"/>
          <w14:textFill>
            <w14:solidFill>
              <w14:schemeClr w14:val="tx1"/>
            </w14:solidFill>
          </w14:textFill>
        </w:rPr>
        <w:t>投标方</w:t>
      </w:r>
      <w:r>
        <w:rPr>
          <w:rFonts w:hint="eastAsia" w:ascii="楷体_GB2312" w:eastAsia="楷体_GB2312"/>
          <w:color w:val="000000" w:themeColor="text1"/>
          <w:sz w:val="24"/>
          <w:lang w:eastAsia="zh-CN"/>
          <w14:textFill>
            <w14:solidFill>
              <w14:schemeClr w14:val="tx1"/>
            </w14:solidFill>
          </w14:textFill>
        </w:rPr>
        <w:t>刑事责任。</w:t>
      </w:r>
    </w:p>
    <w:p w14:paraId="72E9A77F">
      <w:pPr>
        <w:spacing w:line="400" w:lineRule="exact"/>
        <w:ind w:firstLine="482" w:firstLineChars="200"/>
        <w:jc w:val="both"/>
        <w:rPr>
          <w:rFonts w:ascii="楷体_GB2312" w:eastAsia="楷体_GB2312"/>
          <w:b/>
          <w:color w:val="000000" w:themeColor="text1"/>
          <w:sz w:val="24"/>
          <w:lang w:eastAsia="zh-CN"/>
          <w14:textFill>
            <w14:solidFill>
              <w14:schemeClr w14:val="tx1"/>
            </w14:solidFill>
          </w14:textFill>
        </w:rPr>
      </w:pPr>
      <w:r>
        <w:rPr>
          <w:rFonts w:ascii="楷体_GB2312" w:eastAsia="楷体_GB2312"/>
          <w:b/>
          <w:color w:val="000000" w:themeColor="text1"/>
          <w:sz w:val="24"/>
          <w:lang w:eastAsia="zh-CN"/>
          <w14:textFill>
            <w14:solidFill>
              <w14:schemeClr w14:val="tx1"/>
            </w14:solidFill>
          </w14:textFill>
        </w:rPr>
        <w:t>（二）处理措施执行</w:t>
      </w:r>
    </w:p>
    <w:p w14:paraId="08CBA1CF">
      <w:pPr>
        <w:spacing w:line="400" w:lineRule="exact"/>
        <w:ind w:firstLine="480" w:firstLineChars="200"/>
        <w:jc w:val="both"/>
        <w:rPr>
          <w:rFonts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eastAsia="zh-CN"/>
          <w14:textFill>
            <w14:solidFill>
              <w14:schemeClr w14:val="tx1"/>
            </w14:solidFill>
          </w14:textFill>
        </w:rPr>
        <w:t>1、招标方被授权可从投标方正常缴纳的项目</w:t>
      </w:r>
      <w:r>
        <w:rPr>
          <w:rFonts w:ascii="楷体_GB2312" w:eastAsia="楷体_GB2312"/>
          <w:color w:val="000000" w:themeColor="text1"/>
          <w:sz w:val="24"/>
          <w:lang w:eastAsia="zh-CN"/>
          <w14:textFill>
            <w14:solidFill>
              <w14:schemeClr w14:val="tx1"/>
            </w14:solidFill>
          </w14:textFill>
        </w:rPr>
        <w:t>投标</w:t>
      </w:r>
      <w:r>
        <w:rPr>
          <w:rFonts w:hint="eastAsia" w:ascii="楷体_GB2312" w:eastAsia="楷体_GB2312"/>
          <w:color w:val="000000" w:themeColor="text1"/>
          <w:sz w:val="24"/>
          <w:lang w:eastAsia="zh-CN"/>
          <w14:textFill>
            <w14:solidFill>
              <w14:schemeClr w14:val="tx1"/>
            </w14:solidFill>
          </w14:textFill>
        </w:rPr>
        <w:t>保证金、履约保证金或正常交付的货款中扣除因投标方违约导致的处罚、招标方所产生的费用及相关损失，招标方将向投标方出具书面文件明确具体扣款方案，相关款项扣除后不足部分由双方协商确定具体支付方案。</w:t>
      </w:r>
    </w:p>
    <w:p w14:paraId="1AF13118">
      <w:pPr>
        <w:spacing w:line="400" w:lineRule="exact"/>
        <w:ind w:firstLine="480" w:firstLineChars="200"/>
        <w:jc w:val="both"/>
        <w:rPr>
          <w:rFonts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eastAsia="zh-CN"/>
          <w14:textFill>
            <w14:solidFill>
              <w14:schemeClr w14:val="tx1"/>
            </w14:solidFill>
          </w14:textFill>
        </w:rPr>
        <w:t>2、投标方逾期未回复书面文件且协商无果的，招标方有权单方面终止与投标方的合作且无需承担违约责任，另外招标方有权拒绝向投标方支付所有应付款项，直至投标方向招标方付清所有的违约金。</w:t>
      </w:r>
    </w:p>
    <w:p w14:paraId="070B409E">
      <w:pPr>
        <w:spacing w:line="400" w:lineRule="exact"/>
        <w:ind w:firstLine="480" w:firstLineChars="200"/>
        <w:jc w:val="both"/>
        <w:rPr>
          <w:rFonts w:ascii="楷体_GB2312" w:eastAsia="楷体_GB2312"/>
          <w:color w:val="000000" w:themeColor="text1"/>
          <w:sz w:val="24"/>
          <w:lang w:eastAsia="zh-CN"/>
          <w14:textFill>
            <w14:solidFill>
              <w14:schemeClr w14:val="tx1"/>
            </w14:solidFill>
          </w14:textFill>
        </w:rPr>
      </w:pPr>
      <w:r>
        <w:rPr>
          <w:rFonts w:hint="eastAsia" w:ascii="楷体_GB2312" w:eastAsia="楷体_GB2312"/>
          <w:color w:val="000000" w:themeColor="text1"/>
          <w:sz w:val="24"/>
          <w:lang w:eastAsia="zh-CN"/>
          <w14:textFill>
            <w14:solidFill>
              <w14:schemeClr w14:val="tx1"/>
            </w14:solidFill>
          </w14:textFill>
        </w:rPr>
        <w:t>3、不论投标方是否中标，只要投标方实施了本承诺书载明的违约行为的，投标方接受招标方可向招标方所在地有管辖权的人民法院提起诉讼，要求投标方承担本承诺书载明的相关责任。</w:t>
      </w:r>
    </w:p>
    <w:p w14:paraId="55BAACA3">
      <w:pPr>
        <w:spacing w:line="420" w:lineRule="atLeast"/>
        <w:ind w:firstLine="480" w:firstLineChars="200"/>
        <w:rPr>
          <w:rFonts w:ascii="楷体_GB2312" w:eastAsia="楷体_GB2312"/>
          <w:color w:val="000000" w:themeColor="text1"/>
          <w:sz w:val="24"/>
          <w:lang w:eastAsia="zh-CN"/>
          <w14:textFill>
            <w14:solidFill>
              <w14:schemeClr w14:val="tx1"/>
            </w14:solidFill>
          </w14:textFill>
        </w:rPr>
      </w:pPr>
    </w:p>
    <w:p w14:paraId="757DCEBD">
      <w:pPr>
        <w:spacing w:line="420" w:lineRule="atLeast"/>
        <w:rPr>
          <w:rFonts w:ascii="楷体_GB2312" w:eastAsia="楷体_GB2312"/>
          <w:color w:val="000000" w:themeColor="text1"/>
          <w:sz w:val="24"/>
          <w:lang w:eastAsia="zh-CN"/>
          <w14:textFill>
            <w14:solidFill>
              <w14:schemeClr w14:val="tx1"/>
            </w14:solidFill>
          </w14:textFill>
        </w:rPr>
      </w:pPr>
    </w:p>
    <w:p w14:paraId="76712D94">
      <w:pPr>
        <w:spacing w:line="420" w:lineRule="atLeast"/>
        <w:ind w:firstLine="480" w:firstLineChars="200"/>
        <w:jc w:val="right"/>
        <w:rPr>
          <w:rFonts w:ascii="楷体_GB2312" w:eastAsia="楷体_GB2312"/>
          <w:color w:val="000000" w:themeColor="text1"/>
          <w:sz w:val="24"/>
          <w:lang w:eastAsia="zh-CN"/>
          <w14:textFill>
            <w14:solidFill>
              <w14:schemeClr w14:val="tx1"/>
            </w14:solidFill>
          </w14:textFill>
        </w:rPr>
      </w:pPr>
    </w:p>
    <w:p w14:paraId="6EEE8FF5">
      <w:pPr>
        <w:spacing w:line="400" w:lineRule="exact"/>
        <w:ind w:right="958" w:firstLine="4320" w:firstLineChars="1800"/>
        <w:rPr>
          <w:rFonts w:ascii="楷体_GB2312" w:eastAsia="楷体_GB2312"/>
          <w:color w:val="000000" w:themeColor="text1"/>
          <w:sz w:val="24"/>
          <w:lang w:eastAsia="zh-CN"/>
          <w14:textFill>
            <w14:solidFill>
              <w14:schemeClr w14:val="tx1"/>
            </w14:solidFill>
          </w14:textFill>
        </w:rPr>
      </w:pPr>
      <w:r>
        <w:rPr>
          <w:rFonts w:ascii="楷体_GB2312" w:eastAsia="楷体_GB2312"/>
          <w:color w:val="000000" w:themeColor="text1"/>
          <w:sz w:val="24"/>
          <w:lang w:eastAsia="zh-CN"/>
          <w14:textFill>
            <w14:solidFill>
              <w14:schemeClr w14:val="tx1"/>
            </w14:solidFill>
          </w14:textFill>
        </w:rPr>
        <w:t xml:space="preserve">投标方（盖章）：      </w:t>
      </w:r>
    </w:p>
    <w:p w14:paraId="51159A52">
      <w:pPr>
        <w:spacing w:line="400" w:lineRule="exact"/>
        <w:ind w:right="958" w:firstLine="4320" w:firstLineChars="1800"/>
        <w:rPr>
          <w:rFonts w:ascii="楷体_GB2312" w:eastAsia="楷体_GB2312"/>
          <w:color w:val="000000" w:themeColor="text1"/>
          <w:sz w:val="24"/>
          <w:lang w:eastAsia="zh-CN"/>
          <w14:textFill>
            <w14:solidFill>
              <w14:schemeClr w14:val="tx1"/>
            </w14:solidFill>
          </w14:textFill>
        </w:rPr>
      </w:pPr>
      <w:r>
        <w:rPr>
          <w:rFonts w:ascii="楷体_GB2312" w:eastAsia="楷体_GB2312"/>
          <w:color w:val="000000" w:themeColor="text1"/>
          <w:sz w:val="24"/>
          <w:lang w:eastAsia="zh-CN"/>
          <w14:textFill>
            <w14:solidFill>
              <w14:schemeClr w14:val="tx1"/>
            </w14:solidFill>
          </w14:textFill>
        </w:rPr>
        <w:t xml:space="preserve">                </w:t>
      </w:r>
    </w:p>
    <w:p w14:paraId="44CE206B">
      <w:pPr>
        <w:spacing w:line="400" w:lineRule="exact"/>
        <w:ind w:right="958" w:firstLine="4320" w:firstLineChars="1800"/>
        <w:rPr>
          <w:rFonts w:ascii="楷体_GB2312" w:eastAsia="楷体_GB2312"/>
          <w:color w:val="000000" w:themeColor="text1"/>
          <w:sz w:val="24"/>
          <w:lang w:eastAsia="zh-CN"/>
          <w14:textFill>
            <w14:solidFill>
              <w14:schemeClr w14:val="tx1"/>
            </w14:solidFill>
          </w14:textFill>
        </w:rPr>
      </w:pPr>
      <w:r>
        <w:rPr>
          <w:rFonts w:ascii="楷体_GB2312" w:eastAsia="楷体_GB2312"/>
          <w:color w:val="000000" w:themeColor="text1"/>
          <w:sz w:val="24"/>
          <w:lang w:eastAsia="zh-CN"/>
          <w14:textFill>
            <w14:solidFill>
              <w14:schemeClr w14:val="tx1"/>
            </w14:solidFill>
          </w14:textFill>
        </w:rPr>
        <w:t xml:space="preserve">                    </w:t>
      </w:r>
    </w:p>
    <w:p w14:paraId="32BE808A">
      <w:pPr>
        <w:spacing w:line="400" w:lineRule="exact"/>
        <w:ind w:right="958" w:firstLine="2640" w:firstLineChars="1100"/>
        <w:rPr>
          <w:rFonts w:ascii="楷体_GB2312" w:eastAsia="楷体_GB2312"/>
          <w:color w:val="000000" w:themeColor="text1"/>
          <w:sz w:val="24"/>
          <w:lang w:eastAsia="zh-CN"/>
          <w14:textFill>
            <w14:solidFill>
              <w14:schemeClr w14:val="tx1"/>
            </w14:solidFill>
          </w14:textFill>
        </w:rPr>
      </w:pPr>
      <w:r>
        <w:rPr>
          <w:rFonts w:ascii="楷体_GB2312" w:eastAsia="楷体_GB2312"/>
          <w:color w:val="000000" w:themeColor="text1"/>
          <w:sz w:val="24"/>
          <w:lang w:eastAsia="zh-CN"/>
          <w14:textFill>
            <w14:solidFill>
              <w14:schemeClr w14:val="tx1"/>
            </w14:solidFill>
          </w14:textFill>
        </w:rPr>
        <w:t xml:space="preserve">法定代表人或授权代表（签字）：              </w:t>
      </w:r>
    </w:p>
    <w:p w14:paraId="5155F58A">
      <w:pPr>
        <w:spacing w:line="400" w:lineRule="exact"/>
        <w:ind w:right="958"/>
        <w:rPr>
          <w:rFonts w:ascii="楷体_GB2312" w:eastAsia="楷体_GB2312"/>
          <w:color w:val="000000" w:themeColor="text1"/>
          <w:sz w:val="24"/>
          <w:lang w:eastAsia="zh-CN"/>
          <w14:textFill>
            <w14:solidFill>
              <w14:schemeClr w14:val="tx1"/>
            </w14:solidFill>
          </w14:textFill>
        </w:rPr>
      </w:pPr>
    </w:p>
    <w:p w14:paraId="69B98CF1">
      <w:pPr>
        <w:spacing w:line="400" w:lineRule="exact"/>
        <w:ind w:right="958"/>
        <w:rPr>
          <w:rFonts w:ascii="楷体_GB2312" w:eastAsia="楷体_GB2312"/>
          <w:color w:val="000000" w:themeColor="text1"/>
          <w:sz w:val="24"/>
          <w:lang w:eastAsia="zh-CN"/>
          <w14:textFill>
            <w14:solidFill>
              <w14:schemeClr w14:val="tx1"/>
            </w14:solidFill>
          </w14:textFill>
        </w:rPr>
      </w:pPr>
    </w:p>
    <w:p w14:paraId="0E60E347">
      <w:pPr>
        <w:spacing w:line="400" w:lineRule="exact"/>
        <w:ind w:right="958" w:firstLine="5520" w:firstLineChars="2300"/>
        <w:rPr>
          <w:rFonts w:ascii="楷体_GB2312" w:eastAsia="楷体_GB2312"/>
          <w:color w:val="000000" w:themeColor="text1"/>
          <w:sz w:val="24"/>
          <w:lang w:eastAsia="zh-CN"/>
          <w14:textFill>
            <w14:solidFill>
              <w14:schemeClr w14:val="tx1"/>
            </w14:solidFill>
          </w14:textFill>
        </w:rPr>
      </w:pPr>
      <w:r>
        <w:rPr>
          <w:rFonts w:ascii="楷体_GB2312" w:eastAsia="楷体_GB2312"/>
          <w:color w:val="000000" w:themeColor="text1"/>
          <w:sz w:val="24"/>
          <w:lang w:eastAsia="zh-CN"/>
          <w14:textFill>
            <w14:solidFill>
              <w14:schemeClr w14:val="tx1"/>
            </w14:solidFill>
          </w14:textFill>
        </w:rPr>
        <w:t>日期：</w:t>
      </w:r>
    </w:p>
    <w:p w14:paraId="16861237">
      <w:pPr>
        <w:numPr>
          <w:ilvl w:val="0"/>
          <w:numId w:val="0"/>
        </w:numPr>
        <w:spacing w:line="400" w:lineRule="exact"/>
        <w:ind w:firstLine="480" w:firstLineChars="200"/>
        <w:jc w:val="both"/>
        <w:rPr>
          <w:rFonts w:hint="default" w:ascii="楷体_GB2312" w:eastAsia="楷体_GB2312"/>
          <w:color w:val="000000" w:themeColor="text1"/>
          <w:sz w:val="24"/>
          <w:lang w:val="en-US" w:eastAsia="zh-CN"/>
          <w14:textFill>
            <w14:solidFill>
              <w14:schemeClr w14:val="tx1"/>
            </w14:solidFill>
          </w14:textFill>
        </w:rPr>
      </w:pPr>
      <w:bookmarkStart w:id="0" w:name="_GoBack"/>
      <w:bookmarkEnd w:id="0"/>
    </w:p>
    <w:p w14:paraId="70A52885">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C60070"/>
    <w:multiLevelType w:val="singleLevel"/>
    <w:tmpl w:val="C6C60070"/>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797231"/>
    <w:rsid w:val="2DDE4AA3"/>
    <w:rsid w:val="445701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rPr>
  </w:style>
  <w:style w:type="paragraph" w:styleId="3">
    <w:name w:val="footer"/>
    <w:basedOn w:val="1"/>
    <w:unhideWhenUsed/>
    <w:qFormat/>
    <w:uiPriority w:val="99"/>
    <w:pPr>
      <w:tabs>
        <w:tab w:val="center" w:pos="4153"/>
        <w:tab w:val="right" w:pos="8306"/>
      </w:tabs>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3422</Words>
  <Characters>3478</Characters>
  <Lines>0</Lines>
  <Paragraphs>0</Paragraphs>
  <TotalTime>1</TotalTime>
  <ScaleCrop>false</ScaleCrop>
  <LinksUpToDate>false</LinksUpToDate>
  <CharactersWithSpaces>3538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2025-07-26T03:21:00Z</dcterms:created>
  <dc:creator>Administrator</dc:creator>
  <cp:lastModifiedBy>戴东平</cp:lastModifiedBy>
  <dcterms:modified xsi:type="dcterms:W3CDTF">2025-08-05T05:17:42Z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eyJoZGlkIjoiZDRmZmUxYTY3ZjdhMWEyYjNkOGFlNmEzNTcwYzNiYzYiLCJ1c2VySWQiOiIxNjgwMjI2MTg0In0=</vt:lpwstr>
  </property>
  <property fmtid="{D5CDD505-2E9C-101B-9397-08002B2CF9AE}" pid="4" name="ICV">
    <vt:lpwstr>6AE0F1E4128445718E6670ABE928E1F6_12</vt:lpwstr>
  </property>
</Properties>
</file>